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727" w:tblpY="-140"/>
        <w:tblOverlap w:val="never"/>
        <w:tblW w:w="10793" w:type="dxa"/>
        <w:tblInd w:w="0" w:type="dxa"/>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Layout w:type="autofit"/>
        <w:tblCellMar>
          <w:top w:w="0" w:type="dxa"/>
          <w:left w:w="108" w:type="dxa"/>
          <w:bottom w:w="0" w:type="dxa"/>
          <w:right w:w="108" w:type="dxa"/>
        </w:tblCellMar>
      </w:tblPr>
      <w:tblGrid>
        <w:gridCol w:w="898"/>
        <w:gridCol w:w="61"/>
        <w:gridCol w:w="142"/>
        <w:gridCol w:w="4567"/>
        <w:gridCol w:w="842"/>
        <w:gridCol w:w="982"/>
        <w:gridCol w:w="914"/>
        <w:gridCol w:w="349"/>
        <w:gridCol w:w="523"/>
        <w:gridCol w:w="1515"/>
      </w:tblGrid>
      <w:tr w14:paraId="3E7F83B4">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946" w:hRule="atLeast"/>
        </w:trPr>
        <w:tc>
          <w:tcPr>
            <w:tcW w:w="10793" w:type="dxa"/>
            <w:gridSpan w:val="10"/>
            <w:tcBorders>
              <w:tl2br w:val="nil"/>
              <w:tr2bl w:val="nil"/>
            </w:tcBorders>
          </w:tcPr>
          <w:p w14:paraId="76F86FD4">
            <w:pPr>
              <w:shd w:val="clear"/>
              <w:spacing w:line="760" w:lineRule="exact"/>
              <w:jc w:val="center"/>
              <w:rPr>
                <w:rFonts w:hint="eastAsia" w:ascii="微软雅黑" w:hAnsi="微软雅黑" w:eastAsia="微软雅黑" w:cs="微软雅黑"/>
                <w:b/>
                <w:bCs/>
                <w:color w:val="2E75B6" w:themeColor="accent5" w:themeShade="BF"/>
                <w:sz w:val="24"/>
                <w:szCs w:val="24"/>
              </w:rPr>
            </w:pPr>
            <w:r>
              <w:rPr>
                <w:rFonts w:hint="eastAsia" w:ascii="微软雅黑" w:hAnsi="微软雅黑" w:eastAsia="微软雅黑" w:cs="微软雅黑"/>
                <w:b/>
                <w:color w:val="2E75B6" w:themeColor="accent5" w:themeShade="BF"/>
                <w:sz w:val="52"/>
                <w:szCs w:val="52"/>
                <w:lang w:val="en-US" w:eastAsia="zh-CN"/>
              </w:rPr>
              <w:t xml:space="preserve">壹品皇城 </w:t>
            </w:r>
            <w:r>
              <w:rPr>
                <w:rFonts w:hint="eastAsia" w:ascii="微软雅黑" w:hAnsi="微软雅黑" w:eastAsia="微软雅黑" w:cs="微软雅黑"/>
                <w:b/>
                <w:color w:val="2E75B6" w:themeColor="accent5" w:themeShade="BF"/>
                <w:sz w:val="52"/>
                <w:szCs w:val="52"/>
              </w:rPr>
              <w:t>5日</w:t>
            </w:r>
            <w:r>
              <w:rPr>
                <w:rFonts w:hint="eastAsia" w:ascii="微软雅黑" w:hAnsi="微软雅黑" w:eastAsia="微软雅黑" w:cs="微软雅黑"/>
                <w:b/>
                <w:color w:val="2E75B6" w:themeColor="accent5" w:themeShade="BF"/>
                <w:sz w:val="52"/>
                <w:szCs w:val="52"/>
                <w:lang w:eastAsia="zh-CN"/>
              </w:rPr>
              <w:t>游</w:t>
            </w:r>
            <w:r>
              <w:rPr>
                <w:rFonts w:hint="eastAsia" w:ascii="微软雅黑" w:hAnsi="微软雅黑" w:eastAsia="微软雅黑" w:cs="微软雅黑"/>
                <w:b/>
                <w:color w:val="2E75B6" w:themeColor="accent5" w:themeShade="BF"/>
                <w:sz w:val="52"/>
                <w:szCs w:val="52"/>
                <w:lang w:val="en-US" w:eastAsia="zh-CN"/>
              </w:rPr>
              <w:t xml:space="preserve">   </w:t>
            </w:r>
            <w:r>
              <w:rPr>
                <w:rFonts w:hint="eastAsia" w:ascii="微软雅黑" w:hAnsi="微软雅黑" w:eastAsia="微软雅黑" w:cs="微软雅黑"/>
                <w:b/>
                <w:color w:val="auto"/>
                <w:sz w:val="36"/>
                <w:szCs w:val="36"/>
                <w:lang w:val="en-US" w:eastAsia="zh-CN"/>
              </w:rPr>
              <w:t xml:space="preserve">          </w:t>
            </w:r>
          </w:p>
        </w:tc>
      </w:tr>
      <w:tr w14:paraId="68430194">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499" w:hRule="atLeast"/>
        </w:trPr>
        <w:tc>
          <w:tcPr>
            <w:tcW w:w="10793" w:type="dxa"/>
            <w:gridSpan w:val="10"/>
            <w:tcBorders>
              <w:tl2br w:val="nil"/>
              <w:tr2bl w:val="nil"/>
            </w:tcBorders>
            <w:shd w:val="clear" w:color="auto" w:fill="DEEBF6" w:themeFill="accent5" w:themeFillTint="32"/>
          </w:tcPr>
          <w:p w14:paraId="48534A62">
            <w:pPr>
              <w:pStyle w:val="12"/>
              <w:spacing w:line="360" w:lineRule="exact"/>
              <w:ind w:firstLine="0" w:firstLineChars="0"/>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行程简介</w:t>
            </w:r>
          </w:p>
        </w:tc>
      </w:tr>
      <w:tr w14:paraId="570A786E">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400" w:hRule="atLeast"/>
        </w:trPr>
        <w:tc>
          <w:tcPr>
            <w:tcW w:w="898" w:type="dxa"/>
            <w:tcBorders>
              <w:tl2br w:val="nil"/>
              <w:tr2bl w:val="nil"/>
            </w:tcBorders>
            <w:shd w:val="clear" w:color="auto" w:fill="DEEBF6" w:themeFill="accent5" w:themeFillTint="32"/>
          </w:tcPr>
          <w:p w14:paraId="1A9D710F">
            <w:pPr>
              <w:pStyle w:val="12"/>
              <w:spacing w:line="360" w:lineRule="exact"/>
              <w:ind w:firstLine="0" w:firstLineChars="0"/>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天数</w:t>
            </w:r>
          </w:p>
        </w:tc>
        <w:tc>
          <w:tcPr>
            <w:tcW w:w="6594" w:type="dxa"/>
            <w:gridSpan w:val="5"/>
            <w:tcBorders>
              <w:tl2br w:val="nil"/>
              <w:tr2bl w:val="nil"/>
            </w:tcBorders>
            <w:shd w:val="clear" w:color="auto" w:fill="DEEBF6" w:themeFill="accent5" w:themeFillTint="32"/>
          </w:tcPr>
          <w:p w14:paraId="4F7F3C70">
            <w:pPr>
              <w:pStyle w:val="12"/>
              <w:spacing w:line="360" w:lineRule="exact"/>
              <w:ind w:firstLine="0" w:firstLineChars="0"/>
              <w:jc w:val="both"/>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景点安排</w:t>
            </w:r>
          </w:p>
        </w:tc>
        <w:tc>
          <w:tcPr>
            <w:tcW w:w="914" w:type="dxa"/>
            <w:tcBorders>
              <w:tl2br w:val="nil"/>
              <w:tr2bl w:val="nil"/>
            </w:tcBorders>
            <w:shd w:val="clear" w:color="auto" w:fill="DEEBF6" w:themeFill="accent5" w:themeFillTint="32"/>
          </w:tcPr>
          <w:p w14:paraId="0F86874B">
            <w:pPr>
              <w:pStyle w:val="12"/>
              <w:spacing w:line="360" w:lineRule="exact"/>
              <w:ind w:firstLine="0" w:firstLineChars="0"/>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用餐</w:t>
            </w:r>
          </w:p>
        </w:tc>
        <w:tc>
          <w:tcPr>
            <w:tcW w:w="872" w:type="dxa"/>
            <w:gridSpan w:val="2"/>
            <w:tcBorders>
              <w:tl2br w:val="nil"/>
              <w:tr2bl w:val="nil"/>
            </w:tcBorders>
            <w:shd w:val="clear" w:color="auto" w:fill="DEEBF6" w:themeFill="accent5" w:themeFillTint="32"/>
          </w:tcPr>
          <w:p w14:paraId="03DB3689">
            <w:pPr>
              <w:pStyle w:val="12"/>
              <w:spacing w:line="360" w:lineRule="exact"/>
              <w:ind w:firstLine="0" w:firstLineChars="0"/>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住宿</w:t>
            </w:r>
          </w:p>
        </w:tc>
        <w:tc>
          <w:tcPr>
            <w:tcW w:w="1515" w:type="dxa"/>
            <w:tcBorders>
              <w:tl2br w:val="nil"/>
              <w:tr2bl w:val="nil"/>
            </w:tcBorders>
            <w:shd w:val="clear" w:color="auto" w:fill="DEEBF6" w:themeFill="accent5" w:themeFillTint="32"/>
          </w:tcPr>
          <w:p w14:paraId="2195AA1F">
            <w:pPr>
              <w:pStyle w:val="12"/>
              <w:spacing w:line="360" w:lineRule="exact"/>
              <w:ind w:firstLine="0" w:firstLineChars="0"/>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交通</w:t>
            </w:r>
          </w:p>
        </w:tc>
      </w:tr>
      <w:tr w14:paraId="0FDB3C59">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508" w:hRule="atLeast"/>
        </w:trPr>
        <w:tc>
          <w:tcPr>
            <w:tcW w:w="898" w:type="dxa"/>
            <w:tcBorders>
              <w:tl2br w:val="nil"/>
              <w:tr2bl w:val="nil"/>
            </w:tcBorders>
          </w:tcPr>
          <w:p w14:paraId="04536BE2">
            <w:pPr>
              <w:pStyle w:val="12"/>
              <w:spacing w:line="240" w:lineRule="auto"/>
              <w:ind w:firstLine="0" w:firstLineChars="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D1</w:t>
            </w:r>
          </w:p>
        </w:tc>
        <w:tc>
          <w:tcPr>
            <w:tcW w:w="6594" w:type="dxa"/>
            <w:gridSpan w:val="5"/>
            <w:tcBorders>
              <w:tl2br w:val="nil"/>
              <w:tr2bl w:val="nil"/>
            </w:tcBorders>
          </w:tcPr>
          <w:p w14:paraId="73D9418D">
            <w:pPr>
              <w:pStyle w:val="12"/>
              <w:spacing w:line="240" w:lineRule="auto"/>
              <w:ind w:firstLine="0" w:firstLineChars="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出发地-北京</w:t>
            </w:r>
          </w:p>
        </w:tc>
        <w:tc>
          <w:tcPr>
            <w:tcW w:w="914" w:type="dxa"/>
            <w:tcBorders>
              <w:tl2br w:val="nil"/>
              <w:tr2bl w:val="nil"/>
            </w:tcBorders>
          </w:tcPr>
          <w:p w14:paraId="13F3978B">
            <w:pPr>
              <w:pStyle w:val="12"/>
              <w:spacing w:line="360" w:lineRule="exact"/>
              <w:ind w:firstLine="0"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无</w:t>
            </w:r>
          </w:p>
        </w:tc>
        <w:tc>
          <w:tcPr>
            <w:tcW w:w="872" w:type="dxa"/>
            <w:gridSpan w:val="2"/>
            <w:tcBorders>
              <w:tl2br w:val="nil"/>
              <w:tr2bl w:val="nil"/>
            </w:tcBorders>
          </w:tcPr>
          <w:p w14:paraId="3A0DF670">
            <w:pPr>
              <w:pStyle w:val="12"/>
              <w:spacing w:line="360" w:lineRule="exact"/>
              <w:ind w:firstLine="0"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北京</w:t>
            </w:r>
          </w:p>
        </w:tc>
        <w:tc>
          <w:tcPr>
            <w:tcW w:w="1515" w:type="dxa"/>
            <w:tcBorders>
              <w:tl2br w:val="nil"/>
              <w:tr2bl w:val="nil"/>
            </w:tcBorders>
          </w:tcPr>
          <w:p w14:paraId="28433824">
            <w:pPr>
              <w:pStyle w:val="12"/>
              <w:spacing w:line="360" w:lineRule="exact"/>
              <w:ind w:firstLine="0"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飞机/高铁</w:t>
            </w:r>
          </w:p>
        </w:tc>
      </w:tr>
      <w:tr w14:paraId="745B0704">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460" w:hRule="atLeast"/>
        </w:trPr>
        <w:tc>
          <w:tcPr>
            <w:tcW w:w="898" w:type="dxa"/>
            <w:tcBorders>
              <w:tl2br w:val="nil"/>
              <w:tr2bl w:val="nil"/>
            </w:tcBorders>
          </w:tcPr>
          <w:p w14:paraId="58BB2AAE">
            <w:pPr>
              <w:pStyle w:val="12"/>
              <w:spacing w:line="240" w:lineRule="auto"/>
              <w:ind w:firstLine="0" w:firstLineChars="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D2</w:t>
            </w:r>
          </w:p>
        </w:tc>
        <w:tc>
          <w:tcPr>
            <w:tcW w:w="6594" w:type="dxa"/>
            <w:gridSpan w:val="5"/>
            <w:tcBorders>
              <w:tl2br w:val="nil"/>
              <w:tr2bl w:val="nil"/>
            </w:tcBorders>
          </w:tcPr>
          <w:p w14:paraId="01503309">
            <w:pPr>
              <w:pStyle w:val="12"/>
              <w:spacing w:line="240" w:lineRule="auto"/>
              <w:ind w:firstLine="0" w:firstLineChars="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color w:val="000000"/>
                <w:sz w:val="21"/>
                <w:szCs w:val="21"/>
              </w:rPr>
              <w:t>天安门广场-毛主席纪念堂-故宫</w:t>
            </w:r>
            <w:r>
              <w:rPr>
                <w:rFonts w:hint="eastAsia" w:ascii="微软雅黑" w:hAnsi="微软雅黑" w:eastAsia="微软雅黑" w:cs="微软雅黑"/>
                <w:b w:val="0"/>
                <w:bCs w:val="0"/>
                <w:color w:val="000000"/>
                <w:sz w:val="21"/>
                <w:szCs w:val="21"/>
                <w:lang w:val="en-US" w:eastAsia="zh-CN"/>
              </w:rPr>
              <w:t>-天坛公园（通票）</w:t>
            </w:r>
          </w:p>
        </w:tc>
        <w:tc>
          <w:tcPr>
            <w:tcW w:w="914" w:type="dxa"/>
            <w:tcBorders>
              <w:tl2br w:val="nil"/>
              <w:tr2bl w:val="nil"/>
            </w:tcBorders>
          </w:tcPr>
          <w:p w14:paraId="3FC70D2E">
            <w:pPr>
              <w:pStyle w:val="12"/>
              <w:spacing w:line="360" w:lineRule="exact"/>
              <w:ind w:firstLine="0"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早中</w:t>
            </w:r>
          </w:p>
        </w:tc>
        <w:tc>
          <w:tcPr>
            <w:tcW w:w="872" w:type="dxa"/>
            <w:gridSpan w:val="2"/>
            <w:tcBorders>
              <w:tl2br w:val="nil"/>
              <w:tr2bl w:val="nil"/>
            </w:tcBorders>
          </w:tcPr>
          <w:p w14:paraId="0329358F">
            <w:pPr>
              <w:pStyle w:val="12"/>
              <w:spacing w:line="360" w:lineRule="exact"/>
              <w:ind w:firstLine="0"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北京</w:t>
            </w:r>
          </w:p>
        </w:tc>
        <w:tc>
          <w:tcPr>
            <w:tcW w:w="1515" w:type="dxa"/>
            <w:tcBorders>
              <w:tl2br w:val="nil"/>
              <w:tr2bl w:val="nil"/>
            </w:tcBorders>
          </w:tcPr>
          <w:p w14:paraId="764A9161">
            <w:pPr>
              <w:pStyle w:val="12"/>
              <w:spacing w:line="360" w:lineRule="exact"/>
              <w:ind w:firstLine="0"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旅游大巴</w:t>
            </w:r>
          </w:p>
        </w:tc>
      </w:tr>
      <w:tr w14:paraId="07E6F950">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457" w:hRule="atLeast"/>
        </w:trPr>
        <w:tc>
          <w:tcPr>
            <w:tcW w:w="898" w:type="dxa"/>
            <w:tcBorders>
              <w:tl2br w:val="nil"/>
              <w:tr2bl w:val="nil"/>
            </w:tcBorders>
          </w:tcPr>
          <w:p w14:paraId="1B7E09D6">
            <w:pPr>
              <w:pStyle w:val="12"/>
              <w:spacing w:line="240" w:lineRule="auto"/>
              <w:ind w:firstLine="0" w:firstLineChars="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D3</w:t>
            </w:r>
          </w:p>
        </w:tc>
        <w:tc>
          <w:tcPr>
            <w:tcW w:w="6594" w:type="dxa"/>
            <w:gridSpan w:val="5"/>
            <w:tcBorders>
              <w:tl2br w:val="nil"/>
              <w:tr2bl w:val="nil"/>
            </w:tcBorders>
          </w:tcPr>
          <w:p w14:paraId="1E7F4DD2">
            <w:pPr>
              <w:pStyle w:val="12"/>
              <w:spacing w:line="240" w:lineRule="auto"/>
              <w:ind w:firstLine="0" w:firstLineChars="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color w:val="000000"/>
                <w:sz w:val="21"/>
                <w:szCs w:val="21"/>
                <w:lang w:eastAsia="zh-CN"/>
              </w:rPr>
              <w:t>升旗仪式</w:t>
            </w:r>
            <w:r>
              <w:rPr>
                <w:rFonts w:hint="eastAsia" w:ascii="微软雅黑" w:hAnsi="微软雅黑" w:eastAsia="微软雅黑" w:cs="微软雅黑"/>
                <w:b w:val="0"/>
                <w:bCs w:val="0"/>
                <w:color w:val="000000"/>
                <w:sz w:val="21"/>
                <w:szCs w:val="21"/>
              </w:rPr>
              <w:t>-八达岭长城</w:t>
            </w:r>
            <w:r>
              <w:rPr>
                <w:rFonts w:hint="eastAsia" w:ascii="微软雅黑" w:hAnsi="微软雅黑" w:eastAsia="微软雅黑" w:cs="微软雅黑"/>
                <w:b w:val="0"/>
                <w:bCs w:val="0"/>
                <w:color w:val="000000"/>
                <w:sz w:val="21"/>
                <w:szCs w:val="21"/>
                <w:lang w:val="en-US" w:eastAsia="zh-CN"/>
              </w:rPr>
              <w:t>-奥林匹克公园-恭王府-什刹海</w:t>
            </w:r>
          </w:p>
        </w:tc>
        <w:tc>
          <w:tcPr>
            <w:tcW w:w="914" w:type="dxa"/>
            <w:tcBorders>
              <w:tl2br w:val="nil"/>
              <w:tr2bl w:val="nil"/>
            </w:tcBorders>
          </w:tcPr>
          <w:p w14:paraId="299AD28C">
            <w:pPr>
              <w:pStyle w:val="12"/>
              <w:spacing w:line="360" w:lineRule="exact"/>
              <w:ind w:firstLine="0"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早中</w:t>
            </w:r>
          </w:p>
        </w:tc>
        <w:tc>
          <w:tcPr>
            <w:tcW w:w="872" w:type="dxa"/>
            <w:gridSpan w:val="2"/>
            <w:tcBorders>
              <w:tl2br w:val="nil"/>
              <w:tr2bl w:val="nil"/>
            </w:tcBorders>
          </w:tcPr>
          <w:p w14:paraId="198CD05B">
            <w:pPr>
              <w:pStyle w:val="12"/>
              <w:spacing w:line="360" w:lineRule="exact"/>
              <w:ind w:firstLine="0"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北京</w:t>
            </w:r>
          </w:p>
        </w:tc>
        <w:tc>
          <w:tcPr>
            <w:tcW w:w="1515" w:type="dxa"/>
            <w:tcBorders>
              <w:tl2br w:val="nil"/>
              <w:tr2bl w:val="nil"/>
            </w:tcBorders>
          </w:tcPr>
          <w:p w14:paraId="40466738">
            <w:pPr>
              <w:pStyle w:val="12"/>
              <w:spacing w:line="360" w:lineRule="exact"/>
              <w:ind w:firstLine="0"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旅游大巴</w:t>
            </w:r>
          </w:p>
        </w:tc>
      </w:tr>
      <w:tr w14:paraId="6C87EDD3">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460" w:hRule="atLeast"/>
        </w:trPr>
        <w:tc>
          <w:tcPr>
            <w:tcW w:w="898" w:type="dxa"/>
            <w:tcBorders>
              <w:tl2br w:val="nil"/>
              <w:tr2bl w:val="nil"/>
            </w:tcBorders>
          </w:tcPr>
          <w:p w14:paraId="7246618A">
            <w:pPr>
              <w:pStyle w:val="12"/>
              <w:spacing w:line="240" w:lineRule="auto"/>
              <w:ind w:firstLine="0" w:firstLineChars="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D4</w:t>
            </w:r>
          </w:p>
        </w:tc>
        <w:tc>
          <w:tcPr>
            <w:tcW w:w="6594" w:type="dxa"/>
            <w:gridSpan w:val="5"/>
            <w:tcBorders>
              <w:tl2br w:val="nil"/>
              <w:tr2bl w:val="nil"/>
            </w:tcBorders>
          </w:tcPr>
          <w:p w14:paraId="090E2733">
            <w:pPr>
              <w:pStyle w:val="12"/>
              <w:spacing w:line="240" w:lineRule="auto"/>
              <w:ind w:firstLine="0" w:firstLineChars="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color w:val="000000"/>
                <w:sz w:val="21"/>
                <w:szCs w:val="21"/>
                <w:lang w:eastAsia="zh-CN"/>
              </w:rPr>
              <w:t>颐和园</w:t>
            </w:r>
            <w:r>
              <w:rPr>
                <w:rFonts w:hint="eastAsia" w:ascii="微软雅黑" w:hAnsi="微软雅黑" w:eastAsia="微软雅黑" w:cs="微软雅黑"/>
                <w:b w:val="0"/>
                <w:bCs w:val="0"/>
                <w:color w:val="000000"/>
                <w:sz w:val="21"/>
                <w:szCs w:val="21"/>
                <w:lang w:val="en-US" w:eastAsia="zh-CN"/>
              </w:rPr>
              <w:t>-圆明园（含通票）</w:t>
            </w:r>
          </w:p>
        </w:tc>
        <w:tc>
          <w:tcPr>
            <w:tcW w:w="914" w:type="dxa"/>
            <w:tcBorders>
              <w:tl2br w:val="nil"/>
              <w:tr2bl w:val="nil"/>
            </w:tcBorders>
          </w:tcPr>
          <w:p w14:paraId="6DCCB1F2">
            <w:pPr>
              <w:pStyle w:val="12"/>
              <w:spacing w:line="360" w:lineRule="exact"/>
              <w:ind w:firstLine="0"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早中</w:t>
            </w:r>
          </w:p>
        </w:tc>
        <w:tc>
          <w:tcPr>
            <w:tcW w:w="872" w:type="dxa"/>
            <w:gridSpan w:val="2"/>
            <w:tcBorders>
              <w:tl2br w:val="nil"/>
              <w:tr2bl w:val="nil"/>
            </w:tcBorders>
          </w:tcPr>
          <w:p w14:paraId="2E09440B">
            <w:pPr>
              <w:pStyle w:val="12"/>
              <w:spacing w:line="360" w:lineRule="exact"/>
              <w:ind w:firstLine="0"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北京</w:t>
            </w:r>
          </w:p>
        </w:tc>
        <w:tc>
          <w:tcPr>
            <w:tcW w:w="1515" w:type="dxa"/>
            <w:tcBorders>
              <w:tl2br w:val="nil"/>
              <w:tr2bl w:val="nil"/>
            </w:tcBorders>
          </w:tcPr>
          <w:p w14:paraId="0CF537A7">
            <w:pPr>
              <w:pStyle w:val="12"/>
              <w:spacing w:line="360" w:lineRule="exact"/>
              <w:ind w:firstLine="0"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旅游大巴</w:t>
            </w:r>
          </w:p>
        </w:tc>
      </w:tr>
      <w:tr w14:paraId="2DB6EB66">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553" w:hRule="atLeast"/>
        </w:trPr>
        <w:tc>
          <w:tcPr>
            <w:tcW w:w="898" w:type="dxa"/>
            <w:tcBorders>
              <w:tl2br w:val="nil"/>
              <w:tr2bl w:val="nil"/>
            </w:tcBorders>
          </w:tcPr>
          <w:p w14:paraId="18B3312C">
            <w:pPr>
              <w:pStyle w:val="12"/>
              <w:spacing w:line="240" w:lineRule="auto"/>
              <w:ind w:firstLine="0" w:firstLineChars="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D5</w:t>
            </w:r>
          </w:p>
        </w:tc>
        <w:tc>
          <w:tcPr>
            <w:tcW w:w="6594" w:type="dxa"/>
            <w:gridSpan w:val="5"/>
            <w:tcBorders>
              <w:tl2br w:val="nil"/>
              <w:tr2bl w:val="nil"/>
            </w:tcBorders>
          </w:tcPr>
          <w:p w14:paraId="40A60745">
            <w:pPr>
              <w:pStyle w:val="12"/>
              <w:spacing w:line="240" w:lineRule="auto"/>
              <w:ind w:firstLine="0" w:firstLineChars="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北京—出发地</w:t>
            </w:r>
          </w:p>
        </w:tc>
        <w:tc>
          <w:tcPr>
            <w:tcW w:w="914" w:type="dxa"/>
            <w:tcBorders>
              <w:tl2br w:val="nil"/>
              <w:tr2bl w:val="nil"/>
            </w:tcBorders>
          </w:tcPr>
          <w:p w14:paraId="4037EEFD">
            <w:pPr>
              <w:pStyle w:val="12"/>
              <w:spacing w:line="360" w:lineRule="exact"/>
              <w:ind w:firstLine="0"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早</w:t>
            </w:r>
          </w:p>
        </w:tc>
        <w:tc>
          <w:tcPr>
            <w:tcW w:w="872" w:type="dxa"/>
            <w:gridSpan w:val="2"/>
            <w:tcBorders>
              <w:tl2br w:val="nil"/>
              <w:tr2bl w:val="nil"/>
            </w:tcBorders>
          </w:tcPr>
          <w:p w14:paraId="730805C1">
            <w:pPr>
              <w:pStyle w:val="12"/>
              <w:spacing w:line="360" w:lineRule="exact"/>
              <w:ind w:left="0" w:leftChars="0" w:firstLine="0" w:firstLineChars="0"/>
              <w:jc w:val="lef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无</w:t>
            </w:r>
          </w:p>
        </w:tc>
        <w:tc>
          <w:tcPr>
            <w:tcW w:w="1515" w:type="dxa"/>
            <w:tcBorders>
              <w:tl2br w:val="nil"/>
              <w:tr2bl w:val="nil"/>
            </w:tcBorders>
          </w:tcPr>
          <w:p w14:paraId="7591A733">
            <w:pPr>
              <w:pStyle w:val="12"/>
              <w:spacing w:line="360" w:lineRule="exact"/>
              <w:ind w:firstLine="0"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飞机/高铁</w:t>
            </w:r>
          </w:p>
        </w:tc>
      </w:tr>
      <w:tr w14:paraId="1F32B80A">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1026" w:hRule="atLeast"/>
        </w:trPr>
        <w:tc>
          <w:tcPr>
            <w:tcW w:w="10793" w:type="dxa"/>
            <w:gridSpan w:val="10"/>
            <w:tcBorders>
              <w:tl2br w:val="nil"/>
              <w:tr2bl w:val="nil"/>
            </w:tcBorders>
          </w:tcPr>
          <w:p w14:paraId="60758838">
            <w:pPr>
              <w:spacing w:line="400" w:lineRule="exact"/>
              <w:rPr>
                <w:rFonts w:hint="eastAsia" w:ascii="微软雅黑" w:hAnsi="微软雅黑" w:eastAsia="微软雅黑" w:cs="微软雅黑"/>
                <w:b/>
              </w:rPr>
            </w:pPr>
            <w:r>
              <w:rPr>
                <w:rFonts w:hint="eastAsia" w:ascii="微软雅黑" w:hAnsi="微软雅黑" w:eastAsia="微软雅黑" w:cs="微软雅黑"/>
                <w:b/>
              </w:rPr>
              <w:t>备注说明：</w:t>
            </w:r>
          </w:p>
          <w:p w14:paraId="412C523C">
            <w:pPr>
              <w:numPr>
                <w:ilvl w:val="0"/>
                <w:numId w:val="1"/>
              </w:numPr>
              <w:spacing w:line="440" w:lineRule="exact"/>
              <w:rPr>
                <w:rFonts w:hint="eastAsia" w:ascii="微软雅黑" w:hAnsi="微软雅黑" w:eastAsia="微软雅黑" w:cs="微软雅黑"/>
                <w:b/>
                <w:szCs w:val="21"/>
                <w:lang w:val="en-US" w:eastAsia="zh-CN"/>
              </w:rPr>
            </w:pPr>
            <w:r>
              <w:rPr>
                <w:rFonts w:hint="eastAsia" w:ascii="微软雅黑" w:hAnsi="微软雅黑" w:eastAsia="微软雅黑" w:cs="微软雅黑"/>
                <w:b/>
                <w:szCs w:val="21"/>
              </w:rPr>
              <w:t>关于人数说明：本团计划为18人，但有时可能游客临时加人等因素，实际收客大概18-22人之间不等</w:t>
            </w:r>
            <w:r>
              <w:rPr>
                <w:rFonts w:hint="eastAsia" w:ascii="微软雅黑" w:hAnsi="微软雅黑" w:eastAsia="微软雅黑" w:cs="微软雅黑"/>
                <w:b/>
                <w:szCs w:val="21"/>
                <w:lang w:eastAsia="zh-CN"/>
              </w:rPr>
              <w:t>；</w:t>
            </w:r>
          </w:p>
          <w:p w14:paraId="384D8B29">
            <w:pPr>
              <w:numPr>
                <w:ilvl w:val="0"/>
                <w:numId w:val="0"/>
              </w:numPr>
              <w:spacing w:line="440" w:lineRule="exact"/>
              <w:rPr>
                <w:rFonts w:hint="eastAsia" w:ascii="微软雅黑" w:hAnsi="微软雅黑" w:eastAsia="微软雅黑" w:cs="微软雅黑"/>
              </w:rPr>
            </w:pPr>
            <w:r>
              <w:rPr>
                <w:rFonts w:hint="eastAsia" w:ascii="微软雅黑" w:hAnsi="微软雅黑" w:eastAsia="微软雅黑" w:cs="微软雅黑"/>
                <w:b/>
                <w:szCs w:val="21"/>
                <w:lang w:val="en-US" w:eastAsia="zh-CN"/>
              </w:rPr>
              <w:t>2、</w:t>
            </w:r>
            <w:r>
              <w:rPr>
                <w:rFonts w:hint="eastAsia" w:ascii="微软雅黑" w:hAnsi="微软雅黑" w:eastAsia="微软雅黑" w:cs="微软雅黑"/>
                <w:b/>
              </w:rPr>
              <w:t>餐厅指定享用特色餐，如因特殊原因不能就餐导游可调换为其他特色餐厅用餐。</w:t>
            </w:r>
          </w:p>
        </w:tc>
      </w:tr>
      <w:tr w14:paraId="789C1FE8">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90" w:hRule="atLeast"/>
        </w:trPr>
        <w:tc>
          <w:tcPr>
            <w:tcW w:w="10793" w:type="dxa"/>
            <w:gridSpan w:val="10"/>
            <w:tcBorders>
              <w:tl2br w:val="nil"/>
              <w:tr2bl w:val="nil"/>
            </w:tcBorders>
          </w:tcPr>
          <w:p w14:paraId="7F3B0F9B">
            <w:pPr>
              <w:spacing w:line="360" w:lineRule="exact"/>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具体行程安排</w:t>
            </w:r>
          </w:p>
        </w:tc>
      </w:tr>
      <w:tr w14:paraId="25413C28">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505" w:hRule="atLeast"/>
        </w:trPr>
        <w:tc>
          <w:tcPr>
            <w:tcW w:w="1101" w:type="dxa"/>
            <w:gridSpan w:val="3"/>
            <w:vMerge w:val="restart"/>
            <w:tcBorders>
              <w:tl2br w:val="nil"/>
              <w:tr2bl w:val="nil"/>
            </w:tcBorders>
            <w:shd w:val="clear" w:color="auto" w:fill="DEEBF6" w:themeFill="accent5" w:themeFillTint="32"/>
          </w:tcPr>
          <w:p w14:paraId="2181B69A">
            <w:pPr>
              <w:spacing w:line="560" w:lineRule="exact"/>
              <w:rPr>
                <w:rFonts w:hint="eastAsia" w:ascii="微软雅黑" w:hAnsi="微软雅黑" w:eastAsia="微软雅黑" w:cs="微软雅黑"/>
                <w:b/>
                <w:szCs w:val="21"/>
              </w:rPr>
            </w:pPr>
            <w:r>
              <w:rPr>
                <w:rFonts w:hint="eastAsia" w:ascii="微软雅黑" w:hAnsi="微软雅黑" w:eastAsia="微软雅黑" w:cs="微软雅黑"/>
                <w:b/>
                <w:szCs w:val="21"/>
              </w:rPr>
              <w:t>DAY1</w:t>
            </w:r>
          </w:p>
        </w:tc>
        <w:tc>
          <w:tcPr>
            <w:tcW w:w="9692" w:type="dxa"/>
            <w:gridSpan w:val="7"/>
            <w:tcBorders>
              <w:tl2br w:val="nil"/>
              <w:tr2bl w:val="nil"/>
            </w:tcBorders>
            <w:shd w:val="clear" w:color="auto" w:fill="DEEBF6" w:themeFill="accent5" w:themeFillTint="32"/>
          </w:tcPr>
          <w:p w14:paraId="3C4DE0C5">
            <w:pPr>
              <w:spacing w:line="360" w:lineRule="exact"/>
              <w:rPr>
                <w:rFonts w:hint="eastAsia" w:ascii="微软雅黑" w:hAnsi="微软雅黑" w:eastAsia="微软雅黑" w:cs="微软雅黑"/>
                <w:b/>
                <w:szCs w:val="21"/>
              </w:rPr>
            </w:pPr>
            <w:r>
              <w:rPr>
                <w:rFonts w:hint="eastAsia" w:ascii="微软雅黑" w:hAnsi="微软雅黑" w:eastAsia="微软雅黑" w:cs="微软雅黑"/>
                <w:b/>
                <w:szCs w:val="21"/>
              </w:rPr>
              <w:t>出发地—北京</w:t>
            </w:r>
          </w:p>
        </w:tc>
      </w:tr>
      <w:tr w14:paraId="09981E5F">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440" w:hRule="atLeast"/>
        </w:trPr>
        <w:tc>
          <w:tcPr>
            <w:tcW w:w="1101" w:type="dxa"/>
            <w:gridSpan w:val="3"/>
            <w:vMerge w:val="continue"/>
            <w:tcBorders>
              <w:tl2br w:val="nil"/>
              <w:tr2bl w:val="nil"/>
            </w:tcBorders>
            <w:shd w:val="clear" w:color="auto" w:fill="DEEBF6" w:themeFill="accent5" w:themeFillTint="32"/>
          </w:tcPr>
          <w:p w14:paraId="652DD05F">
            <w:pPr>
              <w:spacing w:line="360" w:lineRule="exact"/>
              <w:rPr>
                <w:rFonts w:hint="eastAsia" w:ascii="微软雅黑" w:hAnsi="微软雅黑" w:eastAsia="微软雅黑" w:cs="微软雅黑"/>
                <w:b/>
                <w:szCs w:val="21"/>
              </w:rPr>
            </w:pPr>
          </w:p>
        </w:tc>
        <w:tc>
          <w:tcPr>
            <w:tcW w:w="4567" w:type="dxa"/>
            <w:tcBorders>
              <w:tl2br w:val="nil"/>
              <w:tr2bl w:val="nil"/>
            </w:tcBorders>
            <w:shd w:val="clear" w:color="auto" w:fill="DEEBF6" w:themeFill="accent5" w:themeFillTint="32"/>
          </w:tcPr>
          <w:p w14:paraId="0FF503F1">
            <w:pPr>
              <w:spacing w:line="360" w:lineRule="exact"/>
              <w:rPr>
                <w:rFonts w:hint="eastAsia" w:ascii="微软雅黑" w:hAnsi="微软雅黑" w:eastAsia="微软雅黑" w:cs="微软雅黑"/>
                <w:b/>
                <w:szCs w:val="21"/>
              </w:rPr>
            </w:pPr>
            <w:r>
              <w:rPr>
                <w:rFonts w:hint="eastAsia" w:ascii="微软雅黑" w:hAnsi="微软雅黑" w:eastAsia="微软雅黑" w:cs="微软雅黑"/>
                <w:b/>
              </w:rPr>
              <w:t>早餐：自理  中餐：自理  晚餐：自理</w:t>
            </w:r>
          </w:p>
        </w:tc>
        <w:tc>
          <w:tcPr>
            <w:tcW w:w="3087" w:type="dxa"/>
            <w:gridSpan w:val="4"/>
            <w:tcBorders>
              <w:tl2br w:val="nil"/>
              <w:tr2bl w:val="nil"/>
            </w:tcBorders>
            <w:shd w:val="clear" w:color="auto" w:fill="DEEBF6" w:themeFill="accent5" w:themeFillTint="32"/>
          </w:tcPr>
          <w:p w14:paraId="010E5C8A">
            <w:pPr>
              <w:spacing w:line="360" w:lineRule="exact"/>
              <w:ind w:left="4"/>
              <w:rPr>
                <w:rFonts w:hint="eastAsia" w:ascii="微软雅黑" w:hAnsi="微软雅黑" w:eastAsia="微软雅黑" w:cs="微软雅黑"/>
                <w:b/>
                <w:szCs w:val="21"/>
              </w:rPr>
            </w:pPr>
            <w:r>
              <w:rPr>
                <w:rFonts w:hint="eastAsia" w:ascii="微软雅黑" w:hAnsi="微软雅黑" w:eastAsia="微软雅黑" w:cs="微软雅黑"/>
                <w:b/>
                <w:szCs w:val="21"/>
              </w:rPr>
              <w:t>住宿：北京</w:t>
            </w:r>
          </w:p>
        </w:tc>
        <w:tc>
          <w:tcPr>
            <w:tcW w:w="2038" w:type="dxa"/>
            <w:gridSpan w:val="2"/>
            <w:tcBorders>
              <w:tl2br w:val="nil"/>
              <w:tr2bl w:val="nil"/>
            </w:tcBorders>
            <w:shd w:val="clear" w:color="auto" w:fill="DEEBF6" w:themeFill="accent5" w:themeFillTint="32"/>
          </w:tcPr>
          <w:p w14:paraId="42BC87A4">
            <w:pPr>
              <w:spacing w:line="360" w:lineRule="exact"/>
              <w:ind w:left="4"/>
              <w:rPr>
                <w:rFonts w:hint="eastAsia" w:ascii="微软雅黑" w:hAnsi="微软雅黑" w:eastAsia="微软雅黑" w:cs="微软雅黑"/>
                <w:b/>
                <w:szCs w:val="21"/>
              </w:rPr>
            </w:pPr>
            <w:r>
              <w:rPr>
                <w:rFonts w:hint="eastAsia" w:ascii="微软雅黑" w:hAnsi="微软雅黑" w:eastAsia="微软雅黑" w:cs="微软雅黑"/>
                <w:b/>
                <w:szCs w:val="21"/>
              </w:rPr>
              <w:t>交通：飞机/高铁</w:t>
            </w:r>
          </w:p>
        </w:tc>
      </w:tr>
      <w:tr w14:paraId="581DC832">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3355" w:hRule="atLeast"/>
        </w:trPr>
        <w:tc>
          <w:tcPr>
            <w:tcW w:w="10793" w:type="dxa"/>
            <w:gridSpan w:val="10"/>
            <w:tcBorders>
              <w:tl2br w:val="nil"/>
              <w:tr2bl w:val="nil"/>
            </w:tcBorders>
          </w:tcPr>
          <w:p w14:paraId="0130791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请尊贵的游客带上相关乘机证件于约定时间前自行前往约定地点集合，旅行社工作人员或全陪导游统一讲解旅游注意事项，办理相关乘车手续。</w:t>
            </w:r>
          </w:p>
          <w:p w14:paraId="4E954F3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val="0"/>
                <w:color w:val="0000FF"/>
                <w:kern w:val="2"/>
                <w:sz w:val="21"/>
                <w:szCs w:val="21"/>
                <w:highlight w:val="none"/>
                <w:lang w:val="en-US" w:eastAsia="zh-CN" w:bidi="ar-SA"/>
              </w:rPr>
            </w:pPr>
            <w:r>
              <w:rPr>
                <w:rFonts w:hint="eastAsia" w:ascii="微软雅黑" w:hAnsi="微软雅黑" w:eastAsia="微软雅黑" w:cs="微软雅黑"/>
                <w:b/>
                <w:bCs w:val="0"/>
                <w:color w:val="0000FF"/>
                <w:kern w:val="2"/>
                <w:sz w:val="21"/>
                <w:szCs w:val="21"/>
                <w:highlight w:val="none"/>
                <w:lang w:val="en-US" w:eastAsia="zh-CN" w:bidi="ar-SA"/>
              </w:rPr>
              <w:t>温馨提示：</w:t>
            </w:r>
          </w:p>
          <w:p w14:paraId="6DEE260C">
            <w:pPr>
              <w:pStyle w:val="11"/>
              <w:numPr>
                <w:ilvl w:val="0"/>
                <w:numId w:val="2"/>
              </w:numPr>
              <w:snapToGrid w:val="0"/>
              <w:spacing w:line="320" w:lineRule="exact"/>
              <w:ind w:firstLine="0" w:firstLineChars="0"/>
              <w:jc w:val="left"/>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您的导游会在您出发前一天20点前联系您，并提示您游览注意事项，请注意查收短信或接听电话。（如超过21点没有接到通知，请您及时致电报名旅行社，谢谢！）</w:t>
            </w:r>
          </w:p>
          <w:p w14:paraId="49C61286">
            <w:pPr>
              <w:pStyle w:val="11"/>
              <w:numPr>
                <w:ilvl w:val="0"/>
                <w:numId w:val="2"/>
              </w:numPr>
              <w:snapToGrid w:val="0"/>
              <w:spacing w:line="320" w:lineRule="exact"/>
              <w:ind w:firstLine="0" w:firstLineChars="0"/>
              <w:jc w:val="left"/>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抵达北京后请保持报名时所留的手机号码畅通，接站师傅根据您的到达时间与联系您。</w:t>
            </w:r>
          </w:p>
          <w:p w14:paraId="3E1F5B7F">
            <w:pPr>
              <w:pStyle w:val="11"/>
              <w:numPr>
                <w:ilvl w:val="0"/>
                <w:numId w:val="2"/>
              </w:numPr>
              <w:snapToGrid w:val="0"/>
              <w:spacing w:line="320" w:lineRule="exact"/>
              <w:ind w:firstLine="0" w:firstLineChars="0"/>
              <w:jc w:val="left"/>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因各地区出发时间不一致，有可能出现接机和接站等待的情况（不超过40分钟），敬请谅解。</w:t>
            </w:r>
          </w:p>
          <w:p w14:paraId="6F8F5714">
            <w:pPr>
              <w:pStyle w:val="11"/>
              <w:numPr>
                <w:ilvl w:val="0"/>
                <w:numId w:val="2"/>
              </w:numPr>
              <w:snapToGrid w:val="0"/>
              <w:spacing w:line="320" w:lineRule="exact"/>
              <w:ind w:firstLine="0" w:firstLineChars="0"/>
              <w:jc w:val="left"/>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接您前往酒店后，请自行到前台办理入住手续，请您自理入住酒店时的押金。如有疑问可咨询酒店前台或致电导游，酒店一般入住时间为14:00之后，如您到达较早，可将行李寄存在前台，在酒店周围逛逛稍作等待。</w:t>
            </w:r>
          </w:p>
          <w:p w14:paraId="38926D10">
            <w:pPr>
              <w:numPr>
                <w:ilvl w:val="0"/>
                <w:numId w:val="2"/>
              </w:numPr>
              <w:adjustRightInd w:val="0"/>
              <w:snapToGrid w:val="0"/>
              <w:spacing w:line="320" w:lineRule="exact"/>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行程景点用餐游览顺序可能因北京交通、景区政策、天气等情况进行调整，请您理解。</w:t>
            </w:r>
          </w:p>
          <w:p w14:paraId="519284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000000"/>
              </w:rPr>
            </w:pPr>
            <w:r>
              <w:rPr>
                <w:rFonts w:hint="eastAsia" w:ascii="微软雅黑" w:hAnsi="微软雅黑" w:eastAsia="微软雅黑" w:cs="微软雅黑"/>
                <w:b w:val="0"/>
                <w:bCs/>
                <w:color w:val="auto"/>
                <w:kern w:val="2"/>
                <w:sz w:val="21"/>
                <w:szCs w:val="21"/>
                <w:highlight w:val="none"/>
                <w:lang w:val="en-US" w:eastAsia="zh-CN" w:bidi="ar-SA"/>
              </w:rPr>
              <w:t>6、今日为集合日，自由活动，今日无车安排无导游陪同，请您理解</w:t>
            </w:r>
          </w:p>
        </w:tc>
      </w:tr>
      <w:tr w14:paraId="042D5C5A">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582" w:hRule="atLeast"/>
        </w:trPr>
        <w:tc>
          <w:tcPr>
            <w:tcW w:w="1101" w:type="dxa"/>
            <w:gridSpan w:val="3"/>
            <w:vMerge w:val="restart"/>
            <w:tcBorders>
              <w:tl2br w:val="nil"/>
              <w:tr2bl w:val="nil"/>
            </w:tcBorders>
            <w:shd w:val="clear" w:color="auto" w:fill="DEEBF6" w:themeFill="accent5" w:themeFillTint="32"/>
          </w:tcPr>
          <w:p w14:paraId="3F154AB6">
            <w:pPr>
              <w:spacing w:line="560" w:lineRule="exact"/>
              <w:rPr>
                <w:rFonts w:hint="eastAsia" w:ascii="微软雅黑" w:hAnsi="微软雅黑" w:eastAsia="微软雅黑" w:cs="微软雅黑"/>
                <w:b/>
                <w:szCs w:val="21"/>
              </w:rPr>
            </w:pPr>
            <w:r>
              <w:rPr>
                <w:rFonts w:hint="eastAsia" w:ascii="微软雅黑" w:hAnsi="微软雅黑" w:eastAsia="微软雅黑" w:cs="微软雅黑"/>
                <w:b/>
                <w:szCs w:val="21"/>
              </w:rPr>
              <w:t>DAY2</w:t>
            </w:r>
          </w:p>
        </w:tc>
        <w:tc>
          <w:tcPr>
            <w:tcW w:w="9692" w:type="dxa"/>
            <w:gridSpan w:val="7"/>
            <w:tcBorders>
              <w:tl2br w:val="nil"/>
              <w:tr2bl w:val="nil"/>
            </w:tcBorders>
            <w:shd w:val="clear" w:color="auto" w:fill="DEEBF6" w:themeFill="accent5" w:themeFillTint="32"/>
          </w:tcPr>
          <w:p w14:paraId="474971EA">
            <w:pPr>
              <w:spacing w:line="360" w:lineRule="exact"/>
              <w:rPr>
                <w:rFonts w:hint="default" w:ascii="微软雅黑" w:hAnsi="微软雅黑" w:eastAsia="微软雅黑" w:cs="微软雅黑"/>
                <w:b/>
                <w:szCs w:val="21"/>
                <w:lang w:val="en-US" w:eastAsia="zh-CN"/>
              </w:rPr>
            </w:pPr>
            <w:r>
              <w:rPr>
                <w:rFonts w:hint="eastAsia" w:ascii="微软雅黑" w:hAnsi="微软雅黑" w:eastAsia="微软雅黑" w:cs="微软雅黑"/>
                <w:b/>
                <w:color w:val="000000"/>
              </w:rPr>
              <w:t>天安门广场-毛主席纪念堂-故宫</w:t>
            </w:r>
            <w:r>
              <w:rPr>
                <w:rFonts w:hint="eastAsia" w:ascii="微软雅黑" w:hAnsi="微软雅黑" w:eastAsia="微软雅黑" w:cs="微软雅黑"/>
                <w:b/>
                <w:color w:val="000000"/>
                <w:lang w:eastAsia="zh-CN"/>
              </w:rPr>
              <w:t>博物院</w:t>
            </w:r>
            <w:r>
              <w:rPr>
                <w:rFonts w:hint="eastAsia" w:ascii="微软雅黑" w:hAnsi="微软雅黑" w:eastAsia="微软雅黑" w:cs="微软雅黑"/>
                <w:b/>
                <w:color w:val="000000"/>
                <w:lang w:val="en-US" w:eastAsia="zh-CN"/>
              </w:rPr>
              <w:t>-天坛公园（通票）</w:t>
            </w:r>
          </w:p>
        </w:tc>
      </w:tr>
      <w:tr w14:paraId="3DBAD70F">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566" w:hRule="atLeast"/>
        </w:trPr>
        <w:tc>
          <w:tcPr>
            <w:tcW w:w="1101" w:type="dxa"/>
            <w:gridSpan w:val="3"/>
            <w:vMerge w:val="continue"/>
            <w:tcBorders>
              <w:tl2br w:val="nil"/>
              <w:tr2bl w:val="nil"/>
            </w:tcBorders>
            <w:shd w:val="clear" w:color="auto" w:fill="DEEBF6" w:themeFill="accent5" w:themeFillTint="32"/>
          </w:tcPr>
          <w:p w14:paraId="7A4C91F3">
            <w:pPr>
              <w:spacing w:line="360" w:lineRule="exact"/>
              <w:rPr>
                <w:rFonts w:hint="eastAsia" w:ascii="微软雅黑" w:hAnsi="微软雅黑" w:eastAsia="微软雅黑" w:cs="微软雅黑"/>
                <w:b/>
                <w:szCs w:val="21"/>
              </w:rPr>
            </w:pPr>
          </w:p>
        </w:tc>
        <w:tc>
          <w:tcPr>
            <w:tcW w:w="5409" w:type="dxa"/>
            <w:gridSpan w:val="2"/>
            <w:tcBorders>
              <w:tl2br w:val="nil"/>
              <w:tr2bl w:val="nil"/>
            </w:tcBorders>
            <w:shd w:val="clear" w:color="auto" w:fill="DEEBF6" w:themeFill="accent5" w:themeFillTint="32"/>
          </w:tcPr>
          <w:p w14:paraId="70D63E47">
            <w:pPr>
              <w:spacing w:line="360" w:lineRule="exact"/>
              <w:rPr>
                <w:rFonts w:hint="eastAsia" w:ascii="微软雅黑" w:hAnsi="微软雅黑" w:eastAsia="微软雅黑" w:cs="微软雅黑"/>
                <w:b/>
                <w:szCs w:val="21"/>
              </w:rPr>
            </w:pPr>
            <w:r>
              <w:rPr>
                <w:rFonts w:hint="eastAsia" w:ascii="微软雅黑" w:hAnsi="微软雅黑" w:eastAsia="微软雅黑" w:cs="微软雅黑"/>
                <w:b/>
                <w:szCs w:val="21"/>
              </w:rPr>
              <w:t xml:space="preserve">早餐：含  </w:t>
            </w:r>
            <w:r>
              <w:rPr>
                <w:rFonts w:hint="eastAsia" w:ascii="微软雅黑" w:hAnsi="微软雅黑" w:eastAsia="微软雅黑" w:cs="微软雅黑"/>
                <w:b/>
                <w:szCs w:val="21"/>
                <w:lang w:val="en-US" w:eastAsia="zh-CN"/>
              </w:rPr>
              <w:t xml:space="preserve"> </w:t>
            </w:r>
            <w:r>
              <w:rPr>
                <w:rFonts w:hint="eastAsia" w:ascii="微软雅黑" w:hAnsi="微软雅黑" w:eastAsia="微软雅黑" w:cs="微软雅黑"/>
                <w:b/>
                <w:szCs w:val="21"/>
              </w:rPr>
              <w:t>中餐：</w:t>
            </w:r>
            <w:r>
              <w:rPr>
                <w:rFonts w:hint="eastAsia" w:ascii="微软雅黑" w:hAnsi="微软雅黑" w:eastAsia="微软雅黑" w:cs="微软雅黑"/>
                <w:b/>
                <w:szCs w:val="21"/>
                <w:lang w:eastAsia="zh-CN"/>
              </w:rPr>
              <w:t>含</w:t>
            </w:r>
            <w:r>
              <w:rPr>
                <w:rFonts w:hint="eastAsia" w:ascii="微软雅黑" w:hAnsi="微软雅黑" w:eastAsia="微软雅黑" w:cs="微软雅黑"/>
                <w:b/>
                <w:szCs w:val="21"/>
              </w:rPr>
              <w:t xml:space="preserve">  </w:t>
            </w:r>
            <w:r>
              <w:rPr>
                <w:rFonts w:hint="eastAsia" w:ascii="微软雅黑" w:hAnsi="微软雅黑" w:eastAsia="微软雅黑" w:cs="微软雅黑"/>
                <w:b/>
                <w:szCs w:val="21"/>
                <w:lang w:val="en-US" w:eastAsia="zh-CN"/>
              </w:rPr>
              <w:t xml:space="preserve"> </w:t>
            </w:r>
            <w:r>
              <w:rPr>
                <w:rFonts w:hint="eastAsia" w:ascii="微软雅黑" w:hAnsi="微软雅黑" w:eastAsia="微软雅黑" w:cs="微软雅黑"/>
                <w:b/>
                <w:szCs w:val="21"/>
              </w:rPr>
              <w:t>晚餐：自理</w:t>
            </w:r>
          </w:p>
        </w:tc>
        <w:tc>
          <w:tcPr>
            <w:tcW w:w="2245" w:type="dxa"/>
            <w:gridSpan w:val="3"/>
            <w:tcBorders>
              <w:tl2br w:val="nil"/>
              <w:tr2bl w:val="nil"/>
            </w:tcBorders>
            <w:shd w:val="clear" w:color="auto" w:fill="DEEBF6" w:themeFill="accent5" w:themeFillTint="32"/>
          </w:tcPr>
          <w:p w14:paraId="74BC03CA">
            <w:pPr>
              <w:spacing w:line="360" w:lineRule="exact"/>
              <w:rPr>
                <w:rFonts w:hint="eastAsia" w:ascii="微软雅黑" w:hAnsi="微软雅黑" w:eastAsia="微软雅黑" w:cs="微软雅黑"/>
                <w:b/>
                <w:szCs w:val="21"/>
              </w:rPr>
            </w:pPr>
            <w:r>
              <w:rPr>
                <w:rFonts w:hint="eastAsia" w:ascii="微软雅黑" w:hAnsi="微软雅黑" w:eastAsia="微软雅黑" w:cs="微软雅黑"/>
                <w:b/>
                <w:szCs w:val="21"/>
              </w:rPr>
              <w:t>住宿：北京</w:t>
            </w:r>
          </w:p>
        </w:tc>
        <w:tc>
          <w:tcPr>
            <w:tcW w:w="2038" w:type="dxa"/>
            <w:gridSpan w:val="2"/>
            <w:tcBorders>
              <w:tl2br w:val="nil"/>
              <w:tr2bl w:val="nil"/>
            </w:tcBorders>
            <w:shd w:val="clear" w:color="auto" w:fill="DEEBF6" w:themeFill="accent5" w:themeFillTint="32"/>
          </w:tcPr>
          <w:p w14:paraId="001FDF61">
            <w:pPr>
              <w:spacing w:line="360" w:lineRule="exact"/>
              <w:rPr>
                <w:rFonts w:hint="eastAsia" w:ascii="微软雅黑" w:hAnsi="微软雅黑" w:eastAsia="微软雅黑" w:cs="微软雅黑"/>
                <w:b/>
                <w:szCs w:val="21"/>
              </w:rPr>
            </w:pPr>
            <w:r>
              <w:rPr>
                <w:rFonts w:hint="eastAsia" w:ascii="微软雅黑" w:hAnsi="微软雅黑" w:eastAsia="微软雅黑" w:cs="微软雅黑"/>
                <w:b/>
                <w:szCs w:val="21"/>
              </w:rPr>
              <w:t>交通：旅游大巴</w:t>
            </w:r>
          </w:p>
        </w:tc>
      </w:tr>
      <w:tr w14:paraId="0CE3D8EF">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90" w:hRule="atLeast"/>
        </w:trPr>
        <w:tc>
          <w:tcPr>
            <w:tcW w:w="10793" w:type="dxa"/>
            <w:gridSpan w:val="10"/>
            <w:tcBorders>
              <w:tl2br w:val="nil"/>
              <w:tr2bl w:val="nil"/>
            </w:tcBorders>
          </w:tcPr>
          <w:p w14:paraId="298529AC">
            <w:pPr>
              <w:adjustRightInd w:val="0"/>
              <w:snapToGrid w:val="0"/>
              <w:spacing w:line="38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t>游览景点：</w:t>
            </w:r>
            <w:r>
              <w:rPr>
                <w:rFonts w:hint="eastAsia" w:ascii="微软雅黑" w:hAnsi="微软雅黑" w:eastAsia="微软雅黑" w:cs="微软雅黑"/>
                <w:b/>
                <w:bCs/>
                <w:color w:val="auto"/>
                <w:sz w:val="21"/>
                <w:szCs w:val="21"/>
              </w:rPr>
              <w:t>天安门广场（游览约1.5小时）</w:t>
            </w:r>
          </w:p>
          <w:p w14:paraId="6676F275">
            <w:pPr>
              <w:adjustRightInd w:val="0"/>
              <w:snapToGrid w:val="0"/>
              <w:spacing w:line="380" w:lineRule="exact"/>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前往天安门广场，倾听祖国心脏的脉搏，目睹壮观的“天安丽日”景观，瞻仰毛主席遗容——【毛主席纪念堂】（闭馆观外景），观雄伟的</w:t>
            </w:r>
            <w:r>
              <w:rPr>
                <w:rFonts w:hint="eastAsia" w:ascii="微软雅黑" w:hAnsi="微软雅黑" w:eastAsia="微软雅黑" w:cs="微软雅黑"/>
                <w:b/>
                <w:bCs/>
                <w:color w:val="auto"/>
                <w:sz w:val="21"/>
                <w:szCs w:val="21"/>
              </w:rPr>
              <w:t>【人民英雄纪念碑】</w:t>
            </w:r>
            <w:r>
              <w:rPr>
                <w:rFonts w:hint="eastAsia" w:ascii="微软雅黑" w:hAnsi="微软雅黑" w:eastAsia="微软雅黑" w:cs="微软雅黑"/>
                <w:color w:val="auto"/>
                <w:sz w:val="21"/>
                <w:szCs w:val="21"/>
              </w:rPr>
              <w:t>，外观</w:t>
            </w:r>
            <w:r>
              <w:rPr>
                <w:rFonts w:hint="eastAsia" w:ascii="微软雅黑" w:hAnsi="微软雅黑" w:eastAsia="微软雅黑" w:cs="微软雅黑"/>
                <w:b/>
                <w:bCs/>
                <w:color w:val="auto"/>
                <w:sz w:val="21"/>
                <w:szCs w:val="21"/>
              </w:rPr>
              <w:t>【人民大会堂】</w:t>
            </w:r>
            <w:r>
              <w:rPr>
                <w:rFonts w:hint="eastAsia" w:ascii="微软雅黑" w:hAnsi="微软雅黑" w:eastAsia="微软雅黑" w:cs="微软雅黑"/>
                <w:color w:val="auto"/>
                <w:sz w:val="21"/>
                <w:szCs w:val="21"/>
              </w:rPr>
              <w:t>，外观</w:t>
            </w:r>
            <w:r>
              <w:rPr>
                <w:rFonts w:hint="eastAsia" w:ascii="微软雅黑" w:hAnsi="微软雅黑" w:eastAsia="微软雅黑" w:cs="微软雅黑"/>
                <w:b/>
                <w:bCs/>
                <w:color w:val="auto"/>
                <w:sz w:val="21"/>
                <w:szCs w:val="21"/>
              </w:rPr>
              <w:t>【天安门城楼】</w:t>
            </w:r>
            <w:r>
              <w:rPr>
                <w:rFonts w:hint="eastAsia" w:ascii="微软雅黑" w:hAnsi="微软雅黑" w:eastAsia="微软雅黑" w:cs="微软雅黑"/>
                <w:color w:val="auto"/>
                <w:sz w:val="21"/>
                <w:szCs w:val="21"/>
              </w:rPr>
              <w:t>遥想新中国的建立、抗战胜利70周年阅兵场景。</w:t>
            </w:r>
          </w:p>
          <w:p w14:paraId="7DA1EF43">
            <w:pPr>
              <w:pStyle w:val="10"/>
              <w:ind w:left="0" w:leftChars="0" w:firstLine="0" w:firstLineChars="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温馨提示：毛主席纪念堂（每日限流如遇未预约上门票或者政策性闭馆时，改观外景） </w:t>
            </w:r>
          </w:p>
          <w:p w14:paraId="4BD415CF">
            <w:pPr>
              <w:spacing w:line="400" w:lineRule="exac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游览景点：</w:t>
            </w:r>
            <w:r>
              <w:rPr>
                <w:rFonts w:hint="eastAsia" w:ascii="微软雅黑" w:hAnsi="微软雅黑" w:eastAsia="微软雅黑" w:cs="微软雅黑"/>
                <w:b/>
                <w:color w:val="auto"/>
                <w:kern w:val="0"/>
                <w:sz w:val="21"/>
                <w:szCs w:val="21"/>
              </w:rPr>
              <w:t>故宫博物院</w:t>
            </w:r>
            <w:r>
              <w:rPr>
                <w:rFonts w:hint="eastAsia" w:ascii="微软雅黑" w:hAnsi="微软雅黑" w:eastAsia="微软雅黑" w:cs="微软雅黑"/>
                <w:color w:val="auto"/>
                <w:kern w:val="0"/>
                <w:sz w:val="21"/>
                <w:szCs w:val="21"/>
              </w:rPr>
              <w:t>（</w:t>
            </w:r>
            <w:r>
              <w:rPr>
                <w:rFonts w:hint="eastAsia" w:ascii="微软雅黑" w:hAnsi="微软雅黑" w:eastAsia="微软雅黑" w:cs="微软雅黑"/>
                <w:b/>
                <w:bCs/>
                <w:color w:val="auto"/>
                <w:kern w:val="0"/>
                <w:sz w:val="21"/>
                <w:szCs w:val="21"/>
              </w:rPr>
              <w:t>放慢脚步，留足</w:t>
            </w:r>
            <w:r>
              <w:rPr>
                <w:rFonts w:hint="eastAsia" w:ascii="微软雅黑" w:hAnsi="微软雅黑" w:eastAsia="微软雅黑" w:cs="微软雅黑"/>
                <w:b/>
                <w:bCs/>
                <w:color w:val="auto"/>
                <w:kern w:val="0"/>
                <w:sz w:val="21"/>
                <w:szCs w:val="21"/>
                <w:lang w:val="en-US" w:eastAsia="zh-CN"/>
              </w:rPr>
              <w:t>3</w:t>
            </w:r>
            <w:r>
              <w:rPr>
                <w:rFonts w:hint="eastAsia" w:ascii="微软雅黑" w:hAnsi="微软雅黑" w:eastAsia="微软雅黑" w:cs="微软雅黑"/>
                <w:b/>
                <w:bCs/>
                <w:color w:val="auto"/>
                <w:kern w:val="0"/>
                <w:sz w:val="21"/>
                <w:szCs w:val="21"/>
              </w:rPr>
              <w:t>小时</w:t>
            </w:r>
            <w:r>
              <w:rPr>
                <w:rFonts w:hint="eastAsia" w:ascii="微软雅黑" w:hAnsi="微软雅黑" w:eastAsia="微软雅黑" w:cs="微软雅黑"/>
                <w:color w:val="auto"/>
                <w:kern w:val="0"/>
                <w:sz w:val="21"/>
                <w:szCs w:val="21"/>
              </w:rPr>
              <w:t>），</w:t>
            </w:r>
          </w:p>
          <w:p w14:paraId="0FE996E1">
            <w:pPr>
              <w:spacing w:line="36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t>故宫</w:t>
            </w:r>
            <w:r>
              <w:rPr>
                <w:rFonts w:hint="eastAsia" w:ascii="微软雅黑" w:hAnsi="微软雅黑" w:eastAsia="微软雅黑" w:cs="微软雅黑"/>
                <w:color w:val="auto"/>
                <w:sz w:val="21"/>
                <w:szCs w:val="21"/>
              </w:rPr>
              <w:t>是中国明清两代的皇家宫殿，旧称紫禁城。这里曾居住过24个皇帝，是世界上现存规模最大、保存最为完整的木质结构古建筑之一。走进全新开放的《还珠格格》皇太后居住的慈宁宫、《甄嬛传》熹妃娘娘居住的寿康宫，感受皇家万千气象。</w:t>
            </w:r>
          </w:p>
          <w:p w14:paraId="6ABECE29">
            <w:pPr>
              <w:adjustRightInd w:val="0"/>
              <w:snapToGrid w:val="0"/>
              <w:spacing w:line="380" w:lineRule="exact"/>
              <w:rPr>
                <w:rFonts w:hint="eastAsia" w:ascii="微软雅黑" w:hAnsi="微软雅黑" w:eastAsia="微软雅黑" w:cs="微软雅黑"/>
                <w:b/>
                <w:color w:val="auto"/>
                <w:kern w:val="0"/>
                <w:sz w:val="21"/>
                <w:szCs w:val="21"/>
              </w:rPr>
            </w:pPr>
            <w:r>
              <w:rPr>
                <w:rFonts w:hint="eastAsia" w:ascii="微软雅黑" w:hAnsi="微软雅黑" w:eastAsia="微软雅黑" w:cs="微软雅黑"/>
                <w:color w:val="auto"/>
                <w:kern w:val="0"/>
                <w:sz w:val="21"/>
                <w:szCs w:val="21"/>
              </w:rPr>
              <w:t>游览景点：</w:t>
            </w:r>
            <w:r>
              <w:rPr>
                <w:rFonts w:hint="eastAsia" w:ascii="微软雅黑" w:hAnsi="微软雅黑" w:eastAsia="微软雅黑" w:cs="微软雅黑"/>
                <w:b/>
                <w:color w:val="auto"/>
                <w:sz w:val="21"/>
                <w:szCs w:val="21"/>
              </w:rPr>
              <w:t>天坛公园</w:t>
            </w:r>
            <w:r>
              <w:rPr>
                <w:rFonts w:hint="eastAsia" w:ascii="微软雅黑" w:hAnsi="微软雅黑" w:eastAsia="微软雅黑" w:cs="微软雅黑"/>
                <w:color w:val="auto"/>
                <w:sz w:val="21"/>
                <w:szCs w:val="21"/>
              </w:rPr>
              <w:t>（游览约1小时，</w:t>
            </w:r>
            <w:r>
              <w:rPr>
                <w:rFonts w:hint="eastAsia" w:ascii="微软雅黑" w:hAnsi="微软雅黑" w:eastAsia="微软雅黑" w:cs="微软雅黑"/>
                <w:b/>
                <w:bCs/>
                <w:color w:val="auto"/>
                <w:sz w:val="21"/>
                <w:szCs w:val="21"/>
              </w:rPr>
              <w:t>含通票，</w:t>
            </w:r>
            <w:r>
              <w:rPr>
                <w:rFonts w:hint="eastAsia" w:ascii="微软雅黑" w:hAnsi="微软雅黑" w:eastAsia="微软雅黑" w:cs="微软雅黑"/>
                <w:color w:val="auto"/>
                <w:sz w:val="21"/>
                <w:szCs w:val="21"/>
              </w:rPr>
              <w:t>含祈年殿、回音壁、圜丘小门票）</w:t>
            </w:r>
          </w:p>
          <w:p w14:paraId="3C1BD83E">
            <w:pPr>
              <w:spacing w:line="360" w:lineRule="exact"/>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天坛是明清两代皇帝祭祀天地之神和祈祷五谷丰收的地方。被认为是现存的一组最精致，最美丽的古建筑群。天坛以严谨的建筑布局、奇特的建筑构造和瑰丽的建筑装饰著称于世。</w:t>
            </w:r>
            <w:r>
              <w:rPr>
                <w:rFonts w:hint="eastAsia" w:ascii="微软雅黑" w:hAnsi="微软雅黑" w:eastAsia="微软雅黑" w:cs="微软雅黑"/>
                <w:color w:val="auto"/>
                <w:sz w:val="21"/>
                <w:szCs w:val="21"/>
              </w:rPr>
              <w:br w:type="textWrapping"/>
            </w:r>
          </w:p>
          <w:p w14:paraId="43A21B83">
            <w:pPr>
              <w:rPr>
                <w:rFonts w:hint="eastAsia" w:ascii="微软雅黑" w:hAnsi="微软雅黑" w:eastAsia="微软雅黑" w:cs="微软雅黑"/>
                <w:b/>
                <w:bCs/>
                <w:color w:val="FF0000"/>
              </w:rPr>
            </w:pPr>
            <w:r>
              <w:rPr>
                <w:rFonts w:hint="eastAsia" w:ascii="微软雅黑" w:hAnsi="微软雅黑" w:eastAsia="微软雅黑" w:cs="微软雅黑"/>
                <w:b/>
                <w:bCs/>
                <w:color w:val="FF0000"/>
              </w:rPr>
              <w:t>温馨提示：</w:t>
            </w:r>
          </w:p>
          <w:p w14:paraId="07A53356">
            <w:pPr>
              <w:rPr>
                <w:rFonts w:hint="eastAsia" w:ascii="微软雅黑" w:hAnsi="微软雅黑" w:eastAsia="微软雅黑" w:cs="微软雅黑"/>
              </w:rPr>
            </w:pPr>
            <w:r>
              <w:rPr>
                <w:rFonts w:hint="eastAsia" w:ascii="微软雅黑" w:hAnsi="微软雅黑" w:eastAsia="微软雅黑" w:cs="微软雅黑"/>
                <w:color w:val="C00000"/>
              </w:rPr>
              <w:t>故宫每日限流3万人，门票常年紧张，若您近期打算出游，请尽早下单，以免门票售罄无法参观。故宫门票提前7天晚上8点开售，我们将在第一时间为您预约购票，尽量抢票。若实在无法抢到故宫门票，最晚提前一天通知您，【地接部分可无损退订】或【退故宫门票改自由活动】。行程游览顺序可能会根据故宫门票抢到的日期进行调整，请您理解</w:t>
            </w:r>
            <w:r>
              <w:rPr>
                <w:rFonts w:hint="eastAsia" w:ascii="微软雅黑" w:hAnsi="微软雅黑" w:eastAsia="微软雅黑" w:cs="微软雅黑"/>
                <w:color w:val="C00000"/>
                <w:szCs w:val="21"/>
              </w:rPr>
              <w:t>。</w:t>
            </w:r>
          </w:p>
        </w:tc>
      </w:tr>
      <w:tr w14:paraId="34BEFFCF">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90" w:hRule="atLeast"/>
        </w:trPr>
        <w:tc>
          <w:tcPr>
            <w:tcW w:w="1101" w:type="dxa"/>
            <w:gridSpan w:val="3"/>
            <w:vMerge w:val="restart"/>
            <w:tcBorders>
              <w:tl2br w:val="nil"/>
              <w:tr2bl w:val="nil"/>
            </w:tcBorders>
            <w:shd w:val="clear" w:color="auto" w:fill="DEEBF6" w:themeFill="accent5" w:themeFillTint="32"/>
          </w:tcPr>
          <w:p w14:paraId="5E6DCA2F">
            <w:pPr>
              <w:spacing w:line="560" w:lineRule="exact"/>
              <w:rPr>
                <w:rFonts w:hint="eastAsia" w:ascii="微软雅黑" w:hAnsi="微软雅黑" w:eastAsia="微软雅黑" w:cs="微软雅黑"/>
                <w:b/>
                <w:szCs w:val="21"/>
              </w:rPr>
            </w:pPr>
            <w:r>
              <w:rPr>
                <w:rFonts w:hint="eastAsia" w:ascii="微软雅黑" w:hAnsi="微软雅黑" w:eastAsia="微软雅黑" w:cs="微软雅黑"/>
                <w:b/>
                <w:szCs w:val="21"/>
              </w:rPr>
              <w:t>DAY3</w:t>
            </w:r>
          </w:p>
        </w:tc>
        <w:tc>
          <w:tcPr>
            <w:tcW w:w="9692" w:type="dxa"/>
            <w:gridSpan w:val="7"/>
            <w:tcBorders>
              <w:tl2br w:val="nil"/>
              <w:tr2bl w:val="nil"/>
            </w:tcBorders>
            <w:shd w:val="clear" w:color="auto" w:fill="DEEBF6" w:themeFill="accent5" w:themeFillTint="32"/>
          </w:tcPr>
          <w:p w14:paraId="7344AC8B">
            <w:pPr>
              <w:spacing w:line="360" w:lineRule="exact"/>
              <w:rPr>
                <w:rFonts w:hint="eastAsia" w:ascii="微软雅黑" w:hAnsi="微软雅黑" w:eastAsia="微软雅黑" w:cs="微软雅黑"/>
                <w:b/>
                <w:szCs w:val="21"/>
              </w:rPr>
            </w:pPr>
            <w:r>
              <w:rPr>
                <w:rFonts w:hint="eastAsia" w:ascii="微软雅黑" w:hAnsi="微软雅黑" w:eastAsia="微软雅黑" w:cs="微软雅黑"/>
                <w:b/>
                <w:color w:val="000000"/>
                <w:lang w:val="en-US" w:eastAsia="zh-CN"/>
              </w:rPr>
              <w:t>升旗仪式-</w:t>
            </w:r>
            <w:r>
              <w:rPr>
                <w:rFonts w:hint="eastAsia" w:ascii="微软雅黑" w:hAnsi="微软雅黑" w:eastAsia="微软雅黑" w:cs="微软雅黑"/>
                <w:b/>
                <w:color w:val="000000"/>
              </w:rPr>
              <w:t>八达岭长城-</w:t>
            </w:r>
            <w:r>
              <w:rPr>
                <w:rFonts w:hint="eastAsia" w:ascii="微软雅黑" w:hAnsi="微软雅黑" w:eastAsia="微软雅黑" w:cs="微软雅黑"/>
                <w:b/>
                <w:szCs w:val="21"/>
              </w:rPr>
              <w:t>奥林匹公园</w:t>
            </w:r>
            <w:r>
              <w:rPr>
                <w:rFonts w:hint="eastAsia" w:ascii="微软雅黑" w:hAnsi="微软雅黑" w:eastAsia="微软雅黑" w:cs="微软雅黑"/>
                <w:b/>
                <w:szCs w:val="21"/>
                <w:lang w:val="en-US" w:eastAsia="zh-CN"/>
              </w:rPr>
              <w:t>-</w:t>
            </w:r>
            <w:r>
              <w:rPr>
                <w:rFonts w:hint="eastAsia" w:ascii="微软雅黑" w:hAnsi="微软雅黑" w:eastAsia="微软雅黑" w:cs="微软雅黑"/>
                <w:b/>
                <w:szCs w:val="21"/>
              </w:rPr>
              <w:t>恭王府</w:t>
            </w:r>
            <w:r>
              <w:rPr>
                <w:rFonts w:hint="eastAsia" w:ascii="微软雅黑" w:hAnsi="微软雅黑" w:eastAsia="微软雅黑" w:cs="微软雅黑"/>
                <w:b/>
                <w:szCs w:val="21"/>
                <w:lang w:val="en-US" w:eastAsia="zh-CN"/>
              </w:rPr>
              <w:t>-</w:t>
            </w:r>
            <w:r>
              <w:rPr>
                <w:rFonts w:hint="eastAsia" w:ascii="微软雅黑" w:hAnsi="微软雅黑" w:eastAsia="微软雅黑" w:cs="微软雅黑"/>
                <w:b/>
                <w:szCs w:val="21"/>
              </w:rPr>
              <w:t xml:space="preserve">什刹海   </w:t>
            </w:r>
          </w:p>
        </w:tc>
      </w:tr>
      <w:tr w14:paraId="4AE35FEA">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470" w:hRule="atLeast"/>
        </w:trPr>
        <w:tc>
          <w:tcPr>
            <w:tcW w:w="1101" w:type="dxa"/>
            <w:gridSpan w:val="3"/>
            <w:vMerge w:val="continue"/>
            <w:tcBorders>
              <w:tl2br w:val="nil"/>
              <w:tr2bl w:val="nil"/>
            </w:tcBorders>
            <w:shd w:val="clear" w:color="auto" w:fill="DEEBF6" w:themeFill="accent5" w:themeFillTint="32"/>
          </w:tcPr>
          <w:p w14:paraId="6FF2AF09">
            <w:pPr>
              <w:spacing w:line="360" w:lineRule="exact"/>
              <w:rPr>
                <w:rFonts w:hint="eastAsia" w:ascii="微软雅黑" w:hAnsi="微软雅黑" w:eastAsia="微软雅黑" w:cs="微软雅黑"/>
                <w:b/>
                <w:szCs w:val="21"/>
              </w:rPr>
            </w:pPr>
          </w:p>
        </w:tc>
        <w:tc>
          <w:tcPr>
            <w:tcW w:w="5409" w:type="dxa"/>
            <w:gridSpan w:val="2"/>
            <w:tcBorders>
              <w:tl2br w:val="nil"/>
              <w:tr2bl w:val="nil"/>
            </w:tcBorders>
            <w:shd w:val="clear" w:color="auto" w:fill="DEEBF6" w:themeFill="accent5" w:themeFillTint="32"/>
          </w:tcPr>
          <w:p w14:paraId="29EC92E8">
            <w:pPr>
              <w:spacing w:line="360" w:lineRule="exact"/>
              <w:rPr>
                <w:rFonts w:hint="eastAsia" w:ascii="微软雅黑" w:hAnsi="微软雅黑" w:eastAsia="微软雅黑" w:cs="微软雅黑"/>
                <w:b/>
                <w:szCs w:val="21"/>
              </w:rPr>
            </w:pPr>
            <w:r>
              <w:rPr>
                <w:rFonts w:hint="eastAsia" w:ascii="微软雅黑" w:hAnsi="微软雅黑" w:eastAsia="微软雅黑" w:cs="微软雅黑"/>
                <w:b/>
                <w:szCs w:val="21"/>
              </w:rPr>
              <w:t xml:space="preserve">早餐：含  </w:t>
            </w:r>
            <w:r>
              <w:rPr>
                <w:rFonts w:hint="eastAsia" w:ascii="微软雅黑" w:hAnsi="微软雅黑" w:eastAsia="微软雅黑" w:cs="微软雅黑"/>
                <w:b/>
                <w:szCs w:val="21"/>
                <w:lang w:val="en-US" w:eastAsia="zh-CN"/>
              </w:rPr>
              <w:t xml:space="preserve"> </w:t>
            </w:r>
            <w:r>
              <w:rPr>
                <w:rFonts w:hint="eastAsia" w:ascii="微软雅黑" w:hAnsi="微软雅黑" w:eastAsia="微软雅黑" w:cs="微软雅黑"/>
                <w:b/>
                <w:szCs w:val="21"/>
              </w:rPr>
              <w:t xml:space="preserve"> 中餐：</w:t>
            </w:r>
            <w:r>
              <w:rPr>
                <w:rFonts w:hint="eastAsia" w:ascii="微软雅黑" w:hAnsi="微软雅黑" w:eastAsia="微软雅黑" w:cs="微软雅黑"/>
                <w:b/>
                <w:szCs w:val="21"/>
                <w:lang w:eastAsia="zh-CN"/>
              </w:rPr>
              <w:t>含</w:t>
            </w:r>
            <w:r>
              <w:rPr>
                <w:rFonts w:hint="eastAsia" w:ascii="微软雅黑" w:hAnsi="微软雅黑" w:eastAsia="微软雅黑" w:cs="微软雅黑"/>
                <w:b/>
                <w:szCs w:val="21"/>
              </w:rPr>
              <w:t xml:space="preserve">  </w:t>
            </w:r>
            <w:r>
              <w:rPr>
                <w:rFonts w:hint="eastAsia" w:ascii="微软雅黑" w:hAnsi="微软雅黑" w:eastAsia="微软雅黑" w:cs="微软雅黑"/>
                <w:b/>
                <w:szCs w:val="21"/>
                <w:lang w:val="en-US" w:eastAsia="zh-CN"/>
              </w:rPr>
              <w:t xml:space="preserve"> </w:t>
            </w:r>
            <w:r>
              <w:rPr>
                <w:rFonts w:hint="eastAsia" w:ascii="微软雅黑" w:hAnsi="微软雅黑" w:eastAsia="微软雅黑" w:cs="微软雅黑"/>
                <w:b/>
                <w:szCs w:val="21"/>
              </w:rPr>
              <w:t>晚餐：自理</w:t>
            </w:r>
          </w:p>
        </w:tc>
        <w:tc>
          <w:tcPr>
            <w:tcW w:w="2245" w:type="dxa"/>
            <w:gridSpan w:val="3"/>
            <w:tcBorders>
              <w:tl2br w:val="nil"/>
              <w:tr2bl w:val="nil"/>
            </w:tcBorders>
            <w:shd w:val="clear" w:color="auto" w:fill="DEEBF6" w:themeFill="accent5" w:themeFillTint="32"/>
          </w:tcPr>
          <w:p w14:paraId="33401A77">
            <w:pPr>
              <w:spacing w:line="360" w:lineRule="exact"/>
              <w:rPr>
                <w:rFonts w:hint="eastAsia" w:ascii="微软雅黑" w:hAnsi="微软雅黑" w:eastAsia="微软雅黑" w:cs="微软雅黑"/>
                <w:b/>
                <w:szCs w:val="21"/>
              </w:rPr>
            </w:pPr>
            <w:r>
              <w:rPr>
                <w:rFonts w:hint="eastAsia" w:ascii="微软雅黑" w:hAnsi="微软雅黑" w:eastAsia="微软雅黑" w:cs="微软雅黑"/>
                <w:b/>
                <w:szCs w:val="21"/>
              </w:rPr>
              <w:t>住宿：北京</w:t>
            </w:r>
          </w:p>
        </w:tc>
        <w:tc>
          <w:tcPr>
            <w:tcW w:w="2038" w:type="dxa"/>
            <w:gridSpan w:val="2"/>
            <w:tcBorders>
              <w:tl2br w:val="nil"/>
              <w:tr2bl w:val="nil"/>
            </w:tcBorders>
            <w:shd w:val="clear" w:color="auto" w:fill="DEEBF6" w:themeFill="accent5" w:themeFillTint="32"/>
          </w:tcPr>
          <w:p w14:paraId="0AC2A491">
            <w:pPr>
              <w:spacing w:line="360" w:lineRule="exact"/>
              <w:rPr>
                <w:rFonts w:hint="eastAsia" w:ascii="微软雅黑" w:hAnsi="微软雅黑" w:eastAsia="微软雅黑" w:cs="微软雅黑"/>
                <w:b/>
                <w:szCs w:val="21"/>
              </w:rPr>
            </w:pPr>
            <w:r>
              <w:rPr>
                <w:rFonts w:hint="eastAsia" w:ascii="微软雅黑" w:hAnsi="微软雅黑" w:eastAsia="微软雅黑" w:cs="微软雅黑"/>
                <w:b/>
                <w:szCs w:val="21"/>
              </w:rPr>
              <w:t>交通：旅游大巴</w:t>
            </w:r>
          </w:p>
        </w:tc>
      </w:tr>
      <w:tr w14:paraId="706E2B09">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560" w:hRule="atLeast"/>
        </w:trPr>
        <w:tc>
          <w:tcPr>
            <w:tcW w:w="10793" w:type="dxa"/>
            <w:gridSpan w:val="10"/>
            <w:tcBorders>
              <w:tl2br w:val="nil"/>
              <w:tr2bl w:val="nil"/>
            </w:tcBorders>
          </w:tcPr>
          <w:p w14:paraId="06E9EBB7">
            <w:pPr>
              <w:spacing w:line="240" w:lineRule="auto"/>
              <w:rPr>
                <w:rFonts w:hint="eastAsia" w:ascii="微软雅黑" w:hAnsi="微软雅黑" w:eastAsia="微软雅黑" w:cs="微软雅黑"/>
                <w:color w:val="auto"/>
                <w:kern w:val="0"/>
                <w:szCs w:val="21"/>
              </w:rPr>
            </w:pPr>
            <w:r>
              <w:rPr>
                <w:rFonts w:hint="eastAsia" w:ascii="微软雅黑" w:hAnsi="微软雅黑" w:eastAsia="微软雅黑" w:cs="微软雅黑"/>
                <w:b/>
                <w:bCs/>
                <w:color w:val="auto"/>
                <w:kern w:val="0"/>
                <w:szCs w:val="21"/>
              </w:rPr>
              <w:t>观升旗仪式</w:t>
            </w:r>
          </w:p>
          <w:p w14:paraId="63E899DD">
            <w:pPr>
              <w:adjustRightInd w:val="0"/>
              <w:snapToGrid w:val="0"/>
              <w:spacing w:line="240" w:lineRule="auto"/>
              <w:ind w:firstLine="420" w:firstLineChars="200"/>
              <w:rPr>
                <w:rFonts w:hint="eastAsia" w:ascii="微软雅黑" w:hAnsi="微软雅黑" w:eastAsia="微软雅黑" w:cs="微软雅黑"/>
                <w:color w:val="auto"/>
                <w:szCs w:val="21"/>
              </w:rPr>
            </w:pPr>
            <w:r>
              <w:rPr>
                <w:rFonts w:hint="eastAsia" w:ascii="微软雅黑" w:hAnsi="微软雅黑" w:eastAsia="微软雅黑" w:cs="微软雅黑"/>
                <w:color w:val="auto"/>
                <w:kern w:val="0"/>
                <w:szCs w:val="21"/>
              </w:rPr>
              <w:t>来北京观看一场升降旗仪式是必做的事。当国歌声响起时，广场上的人们要么肃立，要么高唱国歌，所有人的眼光都注视着国旗而缓缓抬起，现场每个人都好似热血沸腾。</w:t>
            </w:r>
            <w:r>
              <w:rPr>
                <w:rFonts w:hint="eastAsia" w:ascii="微软雅黑" w:hAnsi="微软雅黑" w:eastAsia="微软雅黑" w:cs="微软雅黑"/>
                <w:color w:val="auto"/>
                <w:kern w:val="0"/>
                <w:szCs w:val="21"/>
              </w:rPr>
              <w:br w:type="textWrapping"/>
            </w:r>
            <w:r>
              <w:rPr>
                <w:rFonts w:hint="eastAsia" w:ascii="微软雅黑" w:hAnsi="微软雅黑" w:eastAsia="微软雅黑" w:cs="微软雅黑"/>
                <w:color w:val="auto"/>
                <w:szCs w:val="21"/>
              </w:rPr>
              <w:t>游览景点：</w:t>
            </w:r>
            <w:r>
              <w:rPr>
                <w:rFonts w:hint="eastAsia" w:ascii="微软雅黑" w:hAnsi="微软雅黑" w:eastAsia="微软雅黑" w:cs="微软雅黑"/>
                <w:b/>
                <w:color w:val="auto"/>
                <w:szCs w:val="21"/>
              </w:rPr>
              <w:t>八达岭长城</w:t>
            </w:r>
            <w:r>
              <w:rPr>
                <w:rFonts w:hint="eastAsia" w:ascii="微软雅黑" w:hAnsi="微软雅黑" w:eastAsia="微软雅黑" w:cs="微软雅黑"/>
                <w:color w:val="auto"/>
                <w:szCs w:val="21"/>
              </w:rPr>
              <w:t>（游览约2.5小时）</w:t>
            </w:r>
          </w:p>
          <w:p w14:paraId="6FE3388E">
            <w:pPr>
              <w:spacing w:line="240" w:lineRule="auto"/>
              <w:ind w:firstLine="420" w:firstLineChars="200"/>
              <w:rPr>
                <w:rFonts w:hint="eastAsia" w:ascii="微软雅黑" w:hAnsi="微软雅黑" w:eastAsia="微软雅黑" w:cs="微软雅黑"/>
                <w:color w:val="auto"/>
                <w:kern w:val="0"/>
                <w:szCs w:val="21"/>
              </w:rPr>
            </w:pPr>
            <w:r>
              <w:rPr>
                <w:rFonts w:hint="eastAsia" w:ascii="微软雅黑" w:hAnsi="微软雅黑" w:eastAsia="微软雅黑" w:cs="微软雅黑"/>
                <w:color w:val="auto"/>
                <w:szCs w:val="21"/>
              </w:rPr>
              <w:t>八达岭长城史称天下九塞之一，被誉为世界八大奇迹之一，是万里长城的精华，也是最具代表性的明长城之一，有不到长城非好汉之说。</w:t>
            </w:r>
            <w:r>
              <w:rPr>
                <w:rFonts w:hint="eastAsia" w:ascii="微软雅黑" w:hAnsi="微软雅黑" w:eastAsia="微软雅黑" w:cs="微软雅黑"/>
                <w:color w:val="auto"/>
                <w:kern w:val="0"/>
                <w:szCs w:val="21"/>
              </w:rPr>
              <w:t xml:space="preserve"> </w:t>
            </w:r>
          </w:p>
          <w:p w14:paraId="7612938F">
            <w:pPr>
              <w:pStyle w:val="2"/>
              <w:ind w:left="0" w:leftChars="0" w:firstLine="0" w:firstLineChars="0"/>
              <w:rPr>
                <w:rFonts w:hint="eastAsia"/>
              </w:rPr>
            </w:pPr>
            <w:r>
              <w:rPr>
                <w:rFonts w:hint="eastAsia" w:ascii="微软雅黑" w:hAnsi="微软雅黑" w:eastAsia="微软雅黑" w:cs="微软雅黑"/>
                <w:color w:val="auto"/>
                <w:szCs w:val="21"/>
              </w:rPr>
              <w:t>游览景点：</w:t>
            </w:r>
            <w:r>
              <w:rPr>
                <w:rFonts w:hint="eastAsia" w:ascii="微软雅黑" w:hAnsi="微软雅黑" w:eastAsia="微软雅黑" w:cs="微软雅黑"/>
                <w:b/>
                <w:color w:val="auto"/>
                <w:szCs w:val="21"/>
              </w:rPr>
              <w:t>奥林匹克公园</w:t>
            </w:r>
            <w:r>
              <w:rPr>
                <w:rFonts w:hint="eastAsia" w:ascii="微软雅黑" w:hAnsi="微软雅黑" w:eastAsia="微软雅黑" w:cs="微软雅黑"/>
                <w:color w:val="auto"/>
                <w:szCs w:val="21"/>
              </w:rPr>
              <w:t>（游览约1小时）观“鸟巢”（国家体育馆）、“水立方”（国家游泳中心），“冰丝带”（国家速滑馆）外观，可选择最佳拍摄点合影留念，共同见证世界上首座“双奥之城”。</w:t>
            </w:r>
          </w:p>
          <w:p w14:paraId="44CF1ED8">
            <w:pPr>
              <w:adjustRightInd w:val="0"/>
              <w:snapToGrid w:val="0"/>
              <w:spacing w:line="240" w:lineRule="auto"/>
              <w:jc w:val="left"/>
              <w:rPr>
                <w:rFonts w:hint="eastAsia" w:ascii="微软雅黑" w:hAnsi="微软雅黑" w:eastAsia="微软雅黑" w:cs="微软雅黑"/>
                <w:color w:val="auto"/>
                <w:szCs w:val="21"/>
              </w:rPr>
            </w:pPr>
            <w:r>
              <w:rPr>
                <w:rFonts w:hint="eastAsia" w:ascii="微软雅黑" w:hAnsi="微软雅黑" w:eastAsia="微软雅黑" w:cs="微软雅黑"/>
                <w:color w:val="auto"/>
                <w:szCs w:val="21"/>
              </w:rPr>
              <w:t>游览景点：</w:t>
            </w:r>
            <w:r>
              <w:rPr>
                <w:rFonts w:hint="eastAsia" w:ascii="微软雅黑" w:hAnsi="微软雅黑" w:eastAsia="微软雅黑" w:cs="微软雅黑"/>
                <w:b/>
                <w:color w:val="auto"/>
                <w:kern w:val="0"/>
                <w:szCs w:val="21"/>
              </w:rPr>
              <w:t>恭王府</w:t>
            </w:r>
            <w:r>
              <w:rPr>
                <w:rFonts w:hint="eastAsia" w:ascii="微软雅黑" w:hAnsi="微软雅黑" w:eastAsia="微软雅黑" w:cs="微软雅黑"/>
                <w:color w:val="auto"/>
                <w:kern w:val="0"/>
                <w:szCs w:val="21"/>
              </w:rPr>
              <w:t>（含通票,游览约2小时，如遇闭馆改参观北海公园深度游）</w:t>
            </w:r>
          </w:p>
          <w:p w14:paraId="0DDBB1A6">
            <w:pPr>
              <w:spacing w:line="240" w:lineRule="auto"/>
              <w:ind w:firstLine="630" w:firstLineChars="300"/>
              <w:rPr>
                <w:rFonts w:hint="eastAsia" w:ascii="微软雅黑" w:hAnsi="微软雅黑" w:eastAsia="微软雅黑" w:cs="微软雅黑"/>
                <w:color w:val="auto"/>
                <w:szCs w:val="21"/>
              </w:rPr>
            </w:pPr>
            <w:r>
              <w:rPr>
                <w:rFonts w:hint="eastAsia" w:ascii="微软雅黑" w:hAnsi="微软雅黑" w:eastAsia="微软雅黑" w:cs="微软雅黑"/>
                <w:color w:val="auto"/>
                <w:kern w:val="0"/>
                <w:szCs w:val="21"/>
              </w:rPr>
              <w:t>恭王府</w:t>
            </w:r>
            <w:r>
              <w:rPr>
                <w:rFonts w:hint="eastAsia" w:ascii="微软雅黑" w:hAnsi="微软雅黑" w:eastAsia="微软雅黑" w:cs="微软雅黑"/>
                <w:color w:val="auto"/>
                <w:szCs w:val="21"/>
              </w:rPr>
              <w:t>为清代规模最大的一座王府，曾先后作为和珅、永璘的宅邸。恭王府分中东西三路，分别由多个四合院组成。恭王府历经了清王朝由鼎盛而至衰亡的历史进程，故有了“一座恭王府，半部清代史”的说法。</w:t>
            </w:r>
          </w:p>
          <w:p w14:paraId="1074CB8A">
            <w:pPr>
              <w:adjustRightInd w:val="0"/>
              <w:snapToGrid w:val="0"/>
              <w:spacing w:line="240" w:lineRule="auto"/>
              <w:jc w:val="left"/>
              <w:rPr>
                <w:rFonts w:hint="eastAsia" w:ascii="微软雅黑" w:hAnsi="微软雅黑" w:eastAsia="微软雅黑" w:cs="微软雅黑"/>
                <w:color w:val="auto"/>
                <w:kern w:val="0"/>
                <w:szCs w:val="21"/>
              </w:rPr>
            </w:pPr>
            <w:r>
              <w:rPr>
                <w:rFonts w:hint="eastAsia" w:ascii="微软雅黑" w:hAnsi="微软雅黑" w:eastAsia="微软雅黑" w:cs="微软雅黑"/>
                <w:color w:val="auto"/>
                <w:kern w:val="0"/>
                <w:szCs w:val="21"/>
              </w:rPr>
              <w:t>游览景点：</w:t>
            </w:r>
            <w:r>
              <w:rPr>
                <w:rFonts w:hint="eastAsia" w:ascii="微软雅黑" w:hAnsi="微软雅黑" w:eastAsia="微软雅黑" w:cs="微软雅黑"/>
                <w:b/>
                <w:color w:val="auto"/>
                <w:kern w:val="0"/>
                <w:szCs w:val="21"/>
              </w:rPr>
              <w:t>什刹海</w:t>
            </w:r>
            <w:r>
              <w:rPr>
                <w:rFonts w:hint="eastAsia" w:ascii="微软雅黑" w:hAnsi="微软雅黑" w:eastAsia="微软雅黑" w:cs="微软雅黑"/>
                <w:color w:val="auto"/>
                <w:kern w:val="0"/>
                <w:szCs w:val="21"/>
              </w:rPr>
              <w:t>（游览2小时）</w:t>
            </w:r>
          </w:p>
          <w:p w14:paraId="4994C33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szCs w:val="21"/>
              </w:rPr>
            </w:pPr>
            <w:r>
              <w:rPr>
                <w:rFonts w:hint="eastAsia" w:ascii="微软雅黑" w:hAnsi="微软雅黑" w:eastAsia="微软雅黑" w:cs="微软雅黑"/>
                <w:color w:val="auto"/>
                <w:szCs w:val="21"/>
              </w:rPr>
              <w:t>有“老北京最美的地方”的美誉，是京城内老北京风貌保存得最完好的地方。包括前海、后海和西海三个湖泊及临近地区。在北京人心中，什刹海的地位很高，“不是海，胜似海”。这里也是北京唯一一处集自然风光、人文历史、市井文化、传统民俗于一身的旅游胜地。</w:t>
            </w:r>
          </w:p>
        </w:tc>
      </w:tr>
      <w:tr w14:paraId="2275C2AC">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90" w:hRule="atLeast"/>
        </w:trPr>
        <w:tc>
          <w:tcPr>
            <w:tcW w:w="959" w:type="dxa"/>
            <w:gridSpan w:val="2"/>
            <w:vMerge w:val="restart"/>
            <w:tcBorders>
              <w:tl2br w:val="nil"/>
              <w:tr2bl w:val="nil"/>
            </w:tcBorders>
            <w:shd w:val="clear" w:color="auto" w:fill="DEEBF6" w:themeFill="accent5" w:themeFillTint="32"/>
          </w:tcPr>
          <w:p w14:paraId="164AE999">
            <w:pPr>
              <w:spacing w:line="560" w:lineRule="exact"/>
              <w:rPr>
                <w:rFonts w:hint="eastAsia" w:ascii="微软雅黑" w:hAnsi="微软雅黑" w:eastAsia="微软雅黑" w:cs="微软雅黑"/>
                <w:b/>
                <w:szCs w:val="21"/>
              </w:rPr>
            </w:pPr>
            <w:r>
              <w:rPr>
                <w:rFonts w:hint="eastAsia" w:ascii="微软雅黑" w:hAnsi="微软雅黑" w:eastAsia="微软雅黑" w:cs="微软雅黑"/>
                <w:b/>
                <w:szCs w:val="21"/>
              </w:rPr>
              <w:t>DAY4</w:t>
            </w:r>
          </w:p>
        </w:tc>
        <w:tc>
          <w:tcPr>
            <w:tcW w:w="9834" w:type="dxa"/>
            <w:gridSpan w:val="8"/>
            <w:tcBorders>
              <w:tl2br w:val="nil"/>
              <w:tr2bl w:val="nil"/>
            </w:tcBorders>
            <w:shd w:val="clear" w:color="auto" w:fill="DEEBF6" w:themeFill="accent5" w:themeFillTint="32"/>
          </w:tcPr>
          <w:p w14:paraId="282965FD">
            <w:pPr>
              <w:spacing w:line="360" w:lineRule="exact"/>
              <w:rPr>
                <w:rFonts w:hint="default" w:ascii="微软雅黑" w:hAnsi="微软雅黑" w:eastAsia="微软雅黑" w:cs="微软雅黑"/>
                <w:b/>
                <w:szCs w:val="21"/>
                <w:lang w:val="en-US"/>
              </w:rPr>
            </w:pPr>
            <w:r>
              <w:rPr>
                <w:rFonts w:hint="eastAsia" w:ascii="微软雅黑" w:hAnsi="微软雅黑" w:eastAsia="微软雅黑" w:cs="微软雅黑"/>
                <w:b/>
                <w:bCs/>
                <w:color w:val="000000"/>
                <w:lang w:eastAsia="zh-CN"/>
              </w:rPr>
              <w:t>颐和园</w:t>
            </w:r>
            <w:r>
              <w:rPr>
                <w:rFonts w:hint="eastAsia" w:ascii="微软雅黑" w:hAnsi="微软雅黑" w:eastAsia="微软雅黑" w:cs="微软雅黑"/>
                <w:b/>
                <w:bCs/>
                <w:color w:val="000000"/>
                <w:lang w:val="en-US" w:eastAsia="zh-CN"/>
              </w:rPr>
              <w:t>-圆明园（通票）</w:t>
            </w:r>
          </w:p>
        </w:tc>
      </w:tr>
      <w:tr w14:paraId="44C81898">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380" w:hRule="atLeast"/>
        </w:trPr>
        <w:tc>
          <w:tcPr>
            <w:tcW w:w="959" w:type="dxa"/>
            <w:gridSpan w:val="2"/>
            <w:vMerge w:val="continue"/>
            <w:tcBorders>
              <w:tl2br w:val="nil"/>
              <w:tr2bl w:val="nil"/>
            </w:tcBorders>
            <w:shd w:val="clear" w:color="auto" w:fill="DEEBF6" w:themeFill="accent5" w:themeFillTint="32"/>
          </w:tcPr>
          <w:p w14:paraId="58231FEB">
            <w:pPr>
              <w:spacing w:line="360" w:lineRule="exact"/>
              <w:rPr>
                <w:rFonts w:hint="eastAsia" w:ascii="微软雅黑" w:hAnsi="微软雅黑" w:eastAsia="微软雅黑" w:cs="微软雅黑"/>
                <w:b/>
                <w:szCs w:val="21"/>
              </w:rPr>
            </w:pPr>
          </w:p>
        </w:tc>
        <w:tc>
          <w:tcPr>
            <w:tcW w:w="5551" w:type="dxa"/>
            <w:gridSpan w:val="3"/>
            <w:tcBorders>
              <w:tl2br w:val="nil"/>
              <w:tr2bl w:val="nil"/>
            </w:tcBorders>
            <w:shd w:val="clear" w:color="auto" w:fill="DEEBF6" w:themeFill="accent5" w:themeFillTint="32"/>
          </w:tcPr>
          <w:p w14:paraId="6E9EA604">
            <w:pPr>
              <w:spacing w:line="360" w:lineRule="exact"/>
              <w:rPr>
                <w:rFonts w:hint="eastAsia" w:ascii="微软雅黑" w:hAnsi="微软雅黑" w:eastAsia="微软雅黑" w:cs="微软雅黑"/>
                <w:b/>
                <w:szCs w:val="21"/>
              </w:rPr>
            </w:pPr>
            <w:r>
              <w:rPr>
                <w:rFonts w:hint="eastAsia" w:ascii="微软雅黑" w:hAnsi="微软雅黑" w:eastAsia="微软雅黑" w:cs="微软雅黑"/>
                <w:b/>
                <w:szCs w:val="21"/>
              </w:rPr>
              <w:t xml:space="preserve">早餐：含   </w:t>
            </w:r>
            <w:r>
              <w:rPr>
                <w:rFonts w:hint="eastAsia" w:ascii="微软雅黑" w:hAnsi="微软雅黑" w:eastAsia="微软雅黑" w:cs="微软雅黑"/>
                <w:b/>
                <w:szCs w:val="21"/>
                <w:lang w:val="en-US" w:eastAsia="zh-CN"/>
              </w:rPr>
              <w:t xml:space="preserve">  </w:t>
            </w:r>
            <w:r>
              <w:rPr>
                <w:rFonts w:hint="eastAsia" w:ascii="微软雅黑" w:hAnsi="微软雅黑" w:eastAsia="微软雅黑" w:cs="微软雅黑"/>
                <w:b/>
                <w:szCs w:val="21"/>
              </w:rPr>
              <w:t>中餐：</w:t>
            </w:r>
            <w:r>
              <w:rPr>
                <w:rFonts w:hint="eastAsia" w:ascii="微软雅黑" w:hAnsi="微软雅黑" w:eastAsia="微软雅黑" w:cs="微软雅黑"/>
                <w:b/>
                <w:szCs w:val="21"/>
                <w:lang w:eastAsia="zh-CN"/>
              </w:rPr>
              <w:t>含</w:t>
            </w:r>
            <w:r>
              <w:rPr>
                <w:rFonts w:hint="eastAsia" w:ascii="微软雅黑" w:hAnsi="微软雅黑" w:eastAsia="微软雅黑" w:cs="微软雅黑"/>
                <w:b/>
                <w:szCs w:val="21"/>
              </w:rPr>
              <w:t xml:space="preserve">  </w:t>
            </w:r>
            <w:r>
              <w:rPr>
                <w:rFonts w:hint="eastAsia" w:ascii="微软雅黑" w:hAnsi="微软雅黑" w:eastAsia="微软雅黑" w:cs="微软雅黑"/>
                <w:b/>
                <w:szCs w:val="21"/>
                <w:lang w:val="en-US" w:eastAsia="zh-CN"/>
              </w:rPr>
              <w:t xml:space="preserve">  </w:t>
            </w:r>
            <w:r>
              <w:rPr>
                <w:rFonts w:hint="eastAsia" w:ascii="微软雅黑" w:hAnsi="微软雅黑" w:eastAsia="微软雅黑" w:cs="微软雅黑"/>
                <w:b/>
                <w:szCs w:val="21"/>
              </w:rPr>
              <w:t xml:space="preserve"> 晚餐：自理</w:t>
            </w:r>
          </w:p>
        </w:tc>
        <w:tc>
          <w:tcPr>
            <w:tcW w:w="2245" w:type="dxa"/>
            <w:gridSpan w:val="3"/>
            <w:tcBorders>
              <w:tl2br w:val="nil"/>
              <w:tr2bl w:val="nil"/>
            </w:tcBorders>
            <w:shd w:val="clear" w:color="auto" w:fill="DEEBF6" w:themeFill="accent5" w:themeFillTint="32"/>
          </w:tcPr>
          <w:p w14:paraId="2EE25FCD">
            <w:pPr>
              <w:spacing w:line="360" w:lineRule="exact"/>
              <w:rPr>
                <w:rFonts w:hint="eastAsia" w:ascii="微软雅黑" w:hAnsi="微软雅黑" w:eastAsia="微软雅黑" w:cs="微软雅黑"/>
                <w:b/>
                <w:szCs w:val="21"/>
              </w:rPr>
            </w:pPr>
            <w:r>
              <w:rPr>
                <w:rFonts w:hint="eastAsia" w:ascii="微软雅黑" w:hAnsi="微软雅黑" w:eastAsia="微软雅黑" w:cs="微软雅黑"/>
                <w:b/>
                <w:szCs w:val="21"/>
              </w:rPr>
              <w:t>住宿：北京</w:t>
            </w:r>
          </w:p>
        </w:tc>
        <w:tc>
          <w:tcPr>
            <w:tcW w:w="2038" w:type="dxa"/>
            <w:gridSpan w:val="2"/>
            <w:tcBorders>
              <w:tl2br w:val="nil"/>
              <w:tr2bl w:val="nil"/>
            </w:tcBorders>
            <w:shd w:val="clear" w:color="auto" w:fill="DEEBF6" w:themeFill="accent5" w:themeFillTint="32"/>
          </w:tcPr>
          <w:p w14:paraId="393020C3">
            <w:pPr>
              <w:spacing w:line="360" w:lineRule="exact"/>
              <w:rPr>
                <w:rFonts w:hint="eastAsia" w:ascii="微软雅黑" w:hAnsi="微软雅黑" w:eastAsia="微软雅黑" w:cs="微软雅黑"/>
                <w:b/>
                <w:szCs w:val="21"/>
              </w:rPr>
            </w:pPr>
            <w:r>
              <w:rPr>
                <w:rFonts w:hint="eastAsia" w:ascii="微软雅黑" w:hAnsi="微软雅黑" w:eastAsia="微软雅黑" w:cs="微软雅黑"/>
                <w:b/>
                <w:szCs w:val="21"/>
              </w:rPr>
              <w:t>交通：旅游大巴</w:t>
            </w:r>
          </w:p>
        </w:tc>
      </w:tr>
      <w:tr w14:paraId="5F9F8BA3">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368" w:hRule="atLeast"/>
        </w:trPr>
        <w:tc>
          <w:tcPr>
            <w:tcW w:w="10793" w:type="dxa"/>
            <w:gridSpan w:val="10"/>
            <w:tcBorders>
              <w:tl2br w:val="nil"/>
              <w:tr2bl w:val="nil"/>
            </w:tcBorders>
          </w:tcPr>
          <w:p w14:paraId="412FCF13">
            <w:pPr>
              <w:adjustRightInd w:val="0"/>
              <w:snapToGrid w:val="0"/>
              <w:spacing w:line="380" w:lineRule="exact"/>
              <w:rPr>
                <w:rFonts w:hint="eastAsia" w:ascii="微软雅黑" w:hAnsi="微软雅黑" w:eastAsia="微软雅黑" w:cs="微软雅黑"/>
                <w:color w:val="auto"/>
                <w:szCs w:val="21"/>
              </w:rPr>
            </w:pPr>
            <w:r>
              <w:rPr>
                <w:rFonts w:hint="eastAsia" w:ascii="微软雅黑" w:hAnsi="微软雅黑" w:eastAsia="微软雅黑" w:cs="微软雅黑"/>
                <w:color w:val="auto"/>
                <w:kern w:val="0"/>
                <w:szCs w:val="21"/>
                <w:lang w:val="en-US" w:eastAsia="zh-CN"/>
              </w:rPr>
              <w:t>游览景点：</w:t>
            </w:r>
            <w:r>
              <w:rPr>
                <w:rFonts w:hint="eastAsia" w:ascii="微软雅黑" w:hAnsi="微软雅黑" w:eastAsia="微软雅黑" w:cs="微软雅黑"/>
                <w:b/>
                <w:color w:val="auto"/>
                <w:szCs w:val="21"/>
              </w:rPr>
              <w:t>颐和园</w:t>
            </w:r>
            <w:r>
              <w:rPr>
                <w:rFonts w:hint="eastAsia" w:ascii="微软雅黑" w:hAnsi="微软雅黑" w:eastAsia="微软雅黑" w:cs="微软雅黑"/>
                <w:color w:val="auto"/>
                <w:szCs w:val="21"/>
              </w:rPr>
              <w:t>（游览约3小时）</w:t>
            </w:r>
          </w:p>
          <w:p w14:paraId="38887B2A">
            <w:pPr>
              <w:pStyle w:val="2"/>
              <w:ind w:left="0" w:leftChars="0" w:firstLine="0" w:firstLineChars="0"/>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lang w:val="en-US" w:eastAsia="zh-CN" w:bidi="ar-SA"/>
              </w:rPr>
              <w:t>我国现存规模最大、保护最完整的博物馆式皇家园林。晚清时期作为慈禧太后的颐养之地。颐和园是利用昆明湖、万寿山为基址，以杭州西湖风景为蓝本，汲取江南园林的某些设计手法和意境而建成的一座大型天然山水园。</w:t>
            </w:r>
          </w:p>
          <w:p w14:paraId="45BA310A">
            <w:pPr>
              <w:spacing w:line="440" w:lineRule="exact"/>
              <w:rPr>
                <w:rFonts w:hint="eastAsia" w:ascii="宋体" w:hAnsi="宋体" w:cs="宋体"/>
                <w:b w:val="0"/>
                <w:bCs w:val="0"/>
                <w:szCs w:val="21"/>
              </w:rPr>
            </w:pPr>
            <w:r>
              <w:rPr>
                <w:rFonts w:hint="eastAsia" w:ascii="微软雅黑" w:hAnsi="微软雅黑" w:eastAsia="微软雅黑" w:cs="微软雅黑"/>
                <w:color w:val="auto"/>
                <w:kern w:val="0"/>
                <w:sz w:val="21"/>
                <w:szCs w:val="21"/>
                <w:lang w:val="en-US" w:eastAsia="zh-CN" w:bidi="ar-SA"/>
              </w:rPr>
              <w:t>游览景点：</w:t>
            </w:r>
            <w:r>
              <w:rPr>
                <w:rFonts w:hint="eastAsia" w:ascii="微软雅黑" w:hAnsi="微软雅黑" w:eastAsia="微软雅黑" w:cs="微软雅黑"/>
                <w:b/>
                <w:color w:val="auto"/>
                <w:szCs w:val="21"/>
              </w:rPr>
              <w:t>圆明园</w:t>
            </w:r>
            <w:r>
              <w:rPr>
                <w:rFonts w:hint="eastAsia" w:ascii="微软雅黑" w:hAnsi="微软雅黑" w:eastAsia="微软雅黑" w:cs="微软雅黑"/>
                <w:color w:val="auto"/>
                <w:kern w:val="0"/>
                <w:sz w:val="21"/>
                <w:szCs w:val="21"/>
                <w:lang w:val="en-US" w:eastAsia="zh-CN" w:bidi="ar-SA"/>
              </w:rPr>
              <w:t>（游览约2小时，含小门票）</w:t>
            </w:r>
          </w:p>
          <w:p w14:paraId="45316212">
            <w:pPr>
              <w:spacing w:line="440" w:lineRule="exact"/>
              <w:rPr>
                <w:rFonts w:hint="eastAsia" w:ascii="微软雅黑" w:hAnsi="微软雅黑" w:eastAsia="宋体" w:cs="微软雅黑"/>
                <w:szCs w:val="21"/>
                <w:lang w:eastAsia="zh-CN"/>
              </w:rPr>
            </w:pPr>
            <w:r>
              <w:rPr>
                <w:rFonts w:hint="eastAsia" w:ascii="微软雅黑" w:hAnsi="微软雅黑" w:eastAsia="微软雅黑" w:cs="微软雅黑"/>
                <w:color w:val="auto"/>
                <w:kern w:val="0"/>
                <w:sz w:val="21"/>
                <w:szCs w:val="21"/>
                <w:lang w:val="en-US" w:eastAsia="zh-CN" w:bidi="ar-SA"/>
              </w:rPr>
              <w:t>圆明园坐落在北京西北郊，由圆明园、长春园和绮春园组成，也叫圆明三园。圆明园是明朝著名的皇家园林之一， 面积五千二百余亩，一百五十余景。建筑面积达 16 万平方米，有“万园之园”之称。清明皇室每到盛夏时节会来这 里理政，故圆明园也称“夏宫”。圆明园于 1860 年遭英法联军焚毁，文物被掠夺的数量粗略统计约有 150 万件，上 至先秦时代的青铜礼器，下至唐、宋、元、明、清历代的名人书画和各种奇珍异宝。1900 年八国联军侵占北京，西 郊皇家园林再遭劫难。在抗战时期，又遭到不同程度破坏。最后在“文化大革命”时期，圆明园也受到某些破坏。 遭焚毁后的圆明园遗址在新中国成立后开始被保护起来，1956 年北京市园林局开始采取植树保护措施，1976 年圆 明园遗址随成立专营机构。</w:t>
            </w:r>
          </w:p>
        </w:tc>
      </w:tr>
      <w:tr w14:paraId="622ACF87">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421" w:hRule="atLeast"/>
        </w:trPr>
        <w:tc>
          <w:tcPr>
            <w:tcW w:w="1101" w:type="dxa"/>
            <w:gridSpan w:val="3"/>
            <w:vMerge w:val="restart"/>
            <w:tcBorders>
              <w:tl2br w:val="nil"/>
              <w:tr2bl w:val="nil"/>
            </w:tcBorders>
            <w:shd w:val="clear" w:color="auto" w:fill="DEEBF6" w:themeFill="accent5" w:themeFillTint="32"/>
          </w:tcPr>
          <w:p w14:paraId="4B02DD8C">
            <w:pPr>
              <w:spacing w:line="560" w:lineRule="exact"/>
              <w:rPr>
                <w:rFonts w:hint="eastAsia" w:ascii="微软雅黑" w:hAnsi="微软雅黑" w:eastAsia="微软雅黑" w:cs="微软雅黑"/>
                <w:b/>
                <w:szCs w:val="21"/>
              </w:rPr>
            </w:pPr>
            <w:r>
              <w:rPr>
                <w:rFonts w:hint="eastAsia" w:ascii="微软雅黑" w:hAnsi="微软雅黑" w:eastAsia="微软雅黑" w:cs="微软雅黑"/>
                <w:b/>
                <w:szCs w:val="21"/>
              </w:rPr>
              <w:t>DAY5</w:t>
            </w:r>
          </w:p>
        </w:tc>
        <w:tc>
          <w:tcPr>
            <w:tcW w:w="9692" w:type="dxa"/>
            <w:gridSpan w:val="7"/>
            <w:tcBorders>
              <w:tl2br w:val="nil"/>
              <w:tr2bl w:val="nil"/>
            </w:tcBorders>
            <w:shd w:val="clear" w:color="auto" w:fill="DEEBF6" w:themeFill="accent5" w:themeFillTint="32"/>
          </w:tcPr>
          <w:p w14:paraId="260DCABF">
            <w:pPr>
              <w:spacing w:line="360" w:lineRule="exact"/>
              <w:rPr>
                <w:rFonts w:hint="eastAsia" w:ascii="微软雅黑" w:hAnsi="微软雅黑" w:eastAsia="微软雅黑" w:cs="微软雅黑"/>
                <w:b/>
                <w:szCs w:val="21"/>
              </w:rPr>
            </w:pPr>
            <w:r>
              <w:rPr>
                <w:rFonts w:hint="eastAsia" w:ascii="微软雅黑" w:hAnsi="微软雅黑" w:eastAsia="微软雅黑" w:cs="微软雅黑"/>
                <w:b/>
                <w:szCs w:val="21"/>
              </w:rPr>
              <w:t>北京—出发地</w:t>
            </w:r>
          </w:p>
        </w:tc>
      </w:tr>
      <w:tr w14:paraId="41281847">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466" w:hRule="atLeast"/>
        </w:trPr>
        <w:tc>
          <w:tcPr>
            <w:tcW w:w="1101" w:type="dxa"/>
            <w:gridSpan w:val="3"/>
            <w:vMerge w:val="continue"/>
            <w:tcBorders>
              <w:tl2br w:val="nil"/>
              <w:tr2bl w:val="nil"/>
            </w:tcBorders>
            <w:shd w:val="clear" w:color="auto" w:fill="DEEBF6" w:themeFill="accent5" w:themeFillTint="32"/>
          </w:tcPr>
          <w:p w14:paraId="56F39389">
            <w:pPr>
              <w:spacing w:line="360" w:lineRule="exact"/>
              <w:rPr>
                <w:rFonts w:hint="eastAsia" w:ascii="微软雅黑" w:hAnsi="微软雅黑" w:eastAsia="微软雅黑" w:cs="微软雅黑"/>
                <w:b/>
                <w:szCs w:val="21"/>
              </w:rPr>
            </w:pPr>
          </w:p>
        </w:tc>
        <w:tc>
          <w:tcPr>
            <w:tcW w:w="5409" w:type="dxa"/>
            <w:gridSpan w:val="2"/>
            <w:tcBorders>
              <w:tl2br w:val="nil"/>
              <w:tr2bl w:val="nil"/>
            </w:tcBorders>
            <w:shd w:val="clear" w:color="auto" w:fill="DEEBF6" w:themeFill="accent5" w:themeFillTint="32"/>
          </w:tcPr>
          <w:p w14:paraId="2A6445A5">
            <w:pPr>
              <w:spacing w:line="360" w:lineRule="exact"/>
              <w:rPr>
                <w:rFonts w:hint="eastAsia" w:ascii="微软雅黑" w:hAnsi="微软雅黑" w:eastAsia="微软雅黑" w:cs="微软雅黑"/>
                <w:b/>
                <w:szCs w:val="21"/>
              </w:rPr>
            </w:pPr>
            <w:r>
              <w:rPr>
                <w:rFonts w:hint="eastAsia" w:ascii="微软雅黑" w:hAnsi="微软雅黑" w:eastAsia="微软雅黑" w:cs="微软雅黑"/>
                <w:b/>
              </w:rPr>
              <w:t>早餐：</w:t>
            </w:r>
            <w:r>
              <w:rPr>
                <w:rFonts w:hint="eastAsia" w:ascii="微软雅黑" w:hAnsi="微软雅黑" w:eastAsia="微软雅黑" w:cs="微软雅黑"/>
                <w:b/>
                <w:lang w:eastAsia="zh-CN"/>
              </w:rPr>
              <w:t>含</w:t>
            </w:r>
            <w:r>
              <w:rPr>
                <w:rFonts w:hint="eastAsia" w:ascii="微软雅黑" w:hAnsi="微软雅黑" w:eastAsia="微软雅黑" w:cs="微软雅黑"/>
                <w:b/>
              </w:rPr>
              <w:t xml:space="preserve">    </w:t>
            </w:r>
            <w:r>
              <w:rPr>
                <w:rFonts w:hint="eastAsia" w:ascii="微软雅黑" w:hAnsi="微软雅黑" w:eastAsia="微软雅黑" w:cs="微软雅黑"/>
                <w:b/>
                <w:lang w:val="en-US" w:eastAsia="zh-CN"/>
              </w:rPr>
              <w:t xml:space="preserve"> </w:t>
            </w:r>
            <w:r>
              <w:rPr>
                <w:rFonts w:hint="eastAsia" w:ascii="微软雅黑" w:hAnsi="微软雅黑" w:eastAsia="微软雅黑" w:cs="微软雅黑"/>
                <w:b/>
              </w:rPr>
              <w:t>中餐：自理        晚餐：自理</w:t>
            </w:r>
          </w:p>
        </w:tc>
        <w:tc>
          <w:tcPr>
            <w:tcW w:w="2245" w:type="dxa"/>
            <w:gridSpan w:val="3"/>
            <w:tcBorders>
              <w:tl2br w:val="nil"/>
              <w:tr2bl w:val="nil"/>
            </w:tcBorders>
            <w:shd w:val="clear" w:color="auto" w:fill="DEEBF6" w:themeFill="accent5" w:themeFillTint="32"/>
          </w:tcPr>
          <w:p w14:paraId="62A1B5C4">
            <w:pPr>
              <w:spacing w:line="360" w:lineRule="exact"/>
              <w:rPr>
                <w:rFonts w:hint="eastAsia" w:ascii="微软雅黑" w:hAnsi="微软雅黑" w:eastAsia="微软雅黑" w:cs="微软雅黑"/>
                <w:b/>
                <w:szCs w:val="21"/>
              </w:rPr>
            </w:pPr>
            <w:r>
              <w:rPr>
                <w:rFonts w:hint="eastAsia" w:ascii="微软雅黑" w:hAnsi="微软雅黑" w:eastAsia="微软雅黑" w:cs="微软雅黑"/>
                <w:b/>
                <w:szCs w:val="21"/>
              </w:rPr>
              <w:t>住宿：</w:t>
            </w:r>
          </w:p>
        </w:tc>
        <w:tc>
          <w:tcPr>
            <w:tcW w:w="2038" w:type="dxa"/>
            <w:gridSpan w:val="2"/>
            <w:tcBorders>
              <w:tl2br w:val="nil"/>
              <w:tr2bl w:val="nil"/>
            </w:tcBorders>
            <w:shd w:val="clear" w:color="auto" w:fill="DEEBF6" w:themeFill="accent5" w:themeFillTint="32"/>
          </w:tcPr>
          <w:p w14:paraId="72D98910">
            <w:pPr>
              <w:spacing w:line="360" w:lineRule="exact"/>
              <w:rPr>
                <w:rFonts w:hint="default" w:ascii="微软雅黑" w:hAnsi="微软雅黑" w:eastAsia="微软雅黑" w:cs="微软雅黑"/>
                <w:b/>
                <w:szCs w:val="21"/>
                <w:lang w:val="en-US" w:eastAsia="zh-CN"/>
              </w:rPr>
            </w:pPr>
            <w:r>
              <w:rPr>
                <w:rFonts w:hint="eastAsia" w:ascii="微软雅黑" w:hAnsi="微软雅黑" w:eastAsia="微软雅黑" w:cs="微软雅黑"/>
                <w:b/>
                <w:szCs w:val="21"/>
              </w:rPr>
              <w:t>交通：</w:t>
            </w:r>
            <w:r>
              <w:rPr>
                <w:rFonts w:hint="eastAsia" w:ascii="微软雅黑" w:hAnsi="微软雅黑" w:eastAsia="微软雅黑" w:cs="微软雅黑"/>
                <w:b/>
                <w:szCs w:val="21"/>
                <w:lang w:eastAsia="zh-CN"/>
              </w:rPr>
              <w:t>高铁</w:t>
            </w:r>
            <w:r>
              <w:rPr>
                <w:rFonts w:hint="eastAsia" w:ascii="微软雅黑" w:hAnsi="微软雅黑" w:eastAsia="微软雅黑" w:cs="微软雅黑"/>
                <w:b/>
                <w:szCs w:val="21"/>
                <w:lang w:val="en-US" w:eastAsia="zh-CN"/>
              </w:rPr>
              <w:t>/飞机</w:t>
            </w:r>
          </w:p>
        </w:tc>
      </w:tr>
      <w:tr w14:paraId="3C6E69BB">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634" w:hRule="atLeast"/>
        </w:trPr>
        <w:tc>
          <w:tcPr>
            <w:tcW w:w="10793" w:type="dxa"/>
            <w:gridSpan w:val="10"/>
            <w:tcBorders>
              <w:tl2br w:val="nil"/>
              <w:tr2bl w:val="nil"/>
            </w:tcBorders>
          </w:tcPr>
          <w:p w14:paraId="5CE2AE72">
            <w:pPr>
              <w:spacing w:line="360" w:lineRule="exact"/>
              <w:ind w:firstLine="210" w:firstLineChars="100"/>
              <w:rPr>
                <w:rFonts w:hint="eastAsia" w:ascii="微软雅黑" w:hAnsi="微软雅黑" w:eastAsia="微软雅黑" w:cs="微软雅黑"/>
                <w:szCs w:val="21"/>
              </w:rPr>
            </w:pPr>
            <w:r>
              <w:rPr>
                <w:rFonts w:hint="eastAsia" w:ascii="微软雅黑" w:hAnsi="微软雅黑" w:eastAsia="微软雅黑" w:cs="微软雅黑"/>
                <w:color w:val="auto"/>
                <w:kern w:val="0"/>
                <w:sz w:val="21"/>
                <w:szCs w:val="21"/>
                <w:lang w:val="en-US" w:eastAsia="zh-CN" w:bidi="ar-SA"/>
              </w:rPr>
              <w:t>如果你玩累了，今天可以睡到自然醒。如果你还意犹未尽，那就不要留下遗憾，接着开启走街串巷模式。如果你是一名吃货可以去簋街、护国寺吃个痛快，如果你是一名“小资”可以去东交古巷，这里的一砖一瓦一草一木，都是学问！可以去南锣鼓巷，在这四合院里静静思考人生！适时乘飞机或高铁返回。</w:t>
            </w:r>
            <w:r>
              <w:rPr>
                <w:rFonts w:hint="eastAsia" w:ascii="微软雅黑" w:hAnsi="微软雅黑" w:eastAsia="微软雅黑" w:cs="微软雅黑"/>
                <w:szCs w:val="21"/>
              </w:rPr>
              <w:br w:type="textWrapping"/>
            </w:r>
          </w:p>
        </w:tc>
      </w:tr>
      <w:tr w14:paraId="4BE1D1EE">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1980" w:hRule="atLeast"/>
        </w:trPr>
        <w:tc>
          <w:tcPr>
            <w:tcW w:w="10793" w:type="dxa"/>
            <w:gridSpan w:val="10"/>
            <w:tcBorders>
              <w:tl2br w:val="nil"/>
              <w:tr2bl w:val="nil"/>
            </w:tcBorders>
          </w:tcPr>
          <w:p w14:paraId="56CE35AC">
            <w:pPr>
              <w:spacing w:line="240" w:lineRule="auto"/>
              <w:rPr>
                <w:rFonts w:hint="eastAsia" w:ascii="微软雅黑" w:hAnsi="微软雅黑" w:eastAsia="微软雅黑" w:cs="微软雅黑"/>
                <w:b/>
                <w:bCs/>
                <w:color w:val="FF0000"/>
                <w:szCs w:val="21"/>
              </w:rPr>
            </w:pPr>
            <w:r>
              <w:rPr>
                <w:rFonts w:hint="eastAsia" w:ascii="微软雅黑" w:hAnsi="微软雅黑" w:eastAsia="微软雅黑" w:cs="微软雅黑"/>
                <w:b/>
                <w:bCs/>
                <w:color w:val="FF0000"/>
                <w:szCs w:val="21"/>
              </w:rPr>
              <w:t>特殊说明：</w:t>
            </w:r>
          </w:p>
          <w:p w14:paraId="3F3DA8C1">
            <w:pPr>
              <w:pStyle w:val="10"/>
              <w:numPr>
                <w:ilvl w:val="0"/>
                <w:numId w:val="0"/>
              </w:numPr>
              <w:spacing w:line="240" w:lineRule="auto"/>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①</w:t>
            </w:r>
            <w:r>
              <w:rPr>
                <w:rFonts w:hint="eastAsia" w:ascii="微软雅黑" w:hAnsi="微软雅黑" w:eastAsia="微软雅黑" w:cs="微软雅黑"/>
                <w:sz w:val="21"/>
                <w:szCs w:val="21"/>
              </w:rPr>
              <w:t>景点游览顺序仅供参考，具体视天气及游客实际游览情况而定；所有赠送项目如不可抗拒因素未能安排或客人自愿取消，不退任何费用。</w:t>
            </w:r>
          </w:p>
          <w:p w14:paraId="757CBC38">
            <w:pPr>
              <w:pStyle w:val="10"/>
              <w:numPr>
                <w:ilvl w:val="0"/>
                <w:numId w:val="0"/>
              </w:numPr>
              <w:spacing w:line="240" w:lineRule="auto"/>
              <w:rPr>
                <w:rFonts w:hint="eastAsia" w:ascii="微软雅黑" w:hAnsi="微软雅黑" w:eastAsia="微软雅黑" w:cs="微软雅黑"/>
                <w:b/>
                <w:bCs/>
                <w:color w:val="205867"/>
              </w:rPr>
            </w:pPr>
            <w:r>
              <w:rPr>
                <w:rFonts w:hint="eastAsia" w:ascii="微软雅黑" w:hAnsi="微软雅黑" w:eastAsia="微软雅黑" w:cs="微软雅黑"/>
                <w:sz w:val="21"/>
                <w:szCs w:val="21"/>
                <w:lang w:eastAsia="zh-CN"/>
              </w:rPr>
              <w:t>②</w:t>
            </w:r>
            <w:r>
              <w:rPr>
                <w:rFonts w:hint="eastAsia" w:ascii="微软雅黑" w:hAnsi="微软雅黑" w:eastAsia="微软雅黑" w:cs="微软雅黑"/>
                <w:sz w:val="21"/>
                <w:szCs w:val="21"/>
              </w:rPr>
              <w:t>因故宫限流政策原因导致故宫票售罄客人无法入内参观的，我公司会安排更改其他景区参观或者现退故宫门票。</w:t>
            </w:r>
          </w:p>
        </w:tc>
      </w:tr>
      <w:tr w14:paraId="3ADEE0F0">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379" w:hRule="atLeast"/>
        </w:trPr>
        <w:tc>
          <w:tcPr>
            <w:tcW w:w="10793" w:type="dxa"/>
            <w:gridSpan w:val="10"/>
            <w:tcBorders>
              <w:tl2br w:val="nil"/>
              <w:tr2bl w:val="nil"/>
            </w:tcBorders>
          </w:tcPr>
          <w:p w14:paraId="44B64EE2">
            <w:pPr>
              <w:spacing w:line="360" w:lineRule="exact"/>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行程接待标准及注意事项</w:t>
            </w:r>
          </w:p>
        </w:tc>
      </w:tr>
      <w:tr w14:paraId="58A7055B">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90" w:hRule="atLeast"/>
        </w:trPr>
        <w:tc>
          <w:tcPr>
            <w:tcW w:w="10793" w:type="dxa"/>
            <w:gridSpan w:val="10"/>
            <w:tcBorders>
              <w:tl2br w:val="nil"/>
              <w:tr2bl w:val="nil"/>
            </w:tcBorders>
          </w:tcPr>
          <w:p w14:paraId="41C87B73">
            <w:pPr>
              <w:spacing w:line="360" w:lineRule="auto"/>
              <w:jc w:val="left"/>
              <w:textAlignment w:val="baseline"/>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费用包含：</w:t>
            </w:r>
          </w:p>
          <w:p w14:paraId="01CA59DE">
            <w:pPr>
              <w:pStyle w:val="10"/>
              <w:numPr>
                <w:ilvl w:val="0"/>
                <w:numId w:val="0"/>
              </w:numPr>
              <w:spacing w:line="240" w:lineRule="auto"/>
              <w:textAlignment w:val="baseline"/>
              <w:rPr>
                <w:rFonts w:hint="eastAsia" w:ascii="微软雅黑" w:hAnsi="微软雅黑" w:eastAsia="微软雅黑" w:cs="微软雅黑"/>
                <w:sz w:val="21"/>
                <w:szCs w:val="21"/>
                <w:lang w:eastAsia="zh-CN"/>
              </w:rPr>
            </w:pPr>
            <w:r>
              <w:rPr>
                <w:rFonts w:hint="eastAsia" w:ascii="微软雅黑" w:hAnsi="微软雅黑" w:eastAsia="微软雅黑" w:cs="微软雅黑"/>
                <w:b/>
                <w:bCs/>
                <w:sz w:val="21"/>
                <w:szCs w:val="21"/>
                <w:lang w:val="en-US" w:eastAsia="zh-CN"/>
              </w:rPr>
              <w:t>1、</w:t>
            </w:r>
            <w:r>
              <w:rPr>
                <w:rFonts w:hint="eastAsia" w:ascii="微软雅黑" w:hAnsi="微软雅黑" w:eastAsia="微软雅黑" w:cs="微软雅黑"/>
                <w:b/>
                <w:bCs/>
                <w:sz w:val="21"/>
                <w:szCs w:val="21"/>
              </w:rPr>
              <w:t>大交通：</w:t>
            </w:r>
            <w:r>
              <w:rPr>
                <w:rFonts w:hint="eastAsia" w:ascii="微软雅黑" w:hAnsi="微软雅黑" w:eastAsia="微软雅黑" w:cs="微软雅黑"/>
                <w:sz w:val="21"/>
                <w:szCs w:val="21"/>
              </w:rPr>
              <w:t>出发地至北京的往返交通。（飞机/火车/高铁）。根据实际情况安排。全程安排三年内正规旅游空调车，对应团员人数安排对应车型，保证每人一个正座。</w:t>
            </w:r>
          </w:p>
          <w:p w14:paraId="575BDB4A">
            <w:pPr>
              <w:adjustRightInd w:val="0"/>
              <w:snapToGrid w:val="0"/>
              <w:spacing w:line="240" w:lineRule="auto"/>
              <w:ind w:left="1051" w:hanging="1051" w:hangingChars="500"/>
              <w:jc w:val="left"/>
              <w:textAlignment w:val="baseline"/>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b/>
                <w:bCs/>
                <w:sz w:val="21"/>
                <w:szCs w:val="21"/>
                <w:lang w:val="en-US" w:eastAsia="zh-CN"/>
              </w:rPr>
              <w:t>2、</w:t>
            </w:r>
            <w:r>
              <w:rPr>
                <w:rFonts w:hint="eastAsia" w:ascii="微软雅黑" w:hAnsi="微软雅黑" w:eastAsia="微软雅黑" w:cs="微软雅黑"/>
                <w:b/>
                <w:bCs/>
                <w:sz w:val="21"/>
                <w:szCs w:val="21"/>
              </w:rPr>
              <w:t>住宿：</w:t>
            </w:r>
            <w:r>
              <w:rPr>
                <w:rFonts w:hint="eastAsia" w:ascii="微软雅黑" w:hAnsi="微软雅黑" w:eastAsia="微软雅黑" w:cs="微软雅黑"/>
              </w:rPr>
              <w:t xml:space="preserve"> </w:t>
            </w:r>
            <w:r>
              <w:rPr>
                <w:rFonts w:hint="eastAsia" w:ascii="微软雅黑" w:hAnsi="微软雅黑" w:eastAsia="微软雅黑" w:cs="微软雅黑"/>
                <w:kern w:val="0"/>
                <w:sz w:val="21"/>
                <w:szCs w:val="21"/>
                <w:lang w:val="en-US" w:eastAsia="zh-CN" w:bidi="ar-SA"/>
              </w:rPr>
              <w:t>此行程：大床房较多，不保证双床房。无三人间，部分酒店可加床，加床为钢丝床，加床算1个床位费。</w:t>
            </w:r>
            <w:r>
              <w:rPr>
                <w:rFonts w:hint="eastAsia" w:ascii="微软雅黑" w:hAnsi="微软雅黑" w:eastAsia="微软雅黑" w:cs="微软雅黑"/>
                <w:kern w:val="0"/>
                <w:sz w:val="21"/>
                <w:szCs w:val="21"/>
                <w:lang w:val="en-US" w:eastAsia="zh-CN" w:bidi="ar-SA"/>
              </w:rPr>
              <w:br w:type="textWrapping"/>
            </w:r>
            <w:r>
              <w:rPr>
                <w:rFonts w:hint="eastAsia" w:ascii="微软雅黑" w:hAnsi="微软雅黑" w:eastAsia="微软雅黑" w:cs="微软雅黑"/>
                <w:kern w:val="0"/>
                <w:sz w:val="21"/>
                <w:szCs w:val="21"/>
                <w:lang w:val="en-US" w:eastAsia="zh-CN" w:bidi="ar-SA"/>
              </w:rPr>
              <w:t>二三环之间四钻 参考酒店：北京南站天坛漫心酒店或同级</w:t>
            </w:r>
          </w:p>
          <w:p w14:paraId="2724E762">
            <w:pPr>
              <w:widowControl/>
              <w:adjustRightInd w:val="0"/>
              <w:snapToGrid w:val="0"/>
              <w:spacing w:line="240" w:lineRule="auto"/>
              <w:ind w:left="1050" w:leftChars="200" w:right="-540" w:hanging="630" w:hangingChars="300"/>
              <w:jc w:val="left"/>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      三环沿线四钻 参考酒店：原拓丽泽商务酒店或同级</w:t>
            </w:r>
          </w:p>
          <w:p w14:paraId="4A3EACB4">
            <w:pPr>
              <w:numPr>
                <w:ilvl w:val="0"/>
                <w:numId w:val="0"/>
              </w:numPr>
              <w:adjustRightInd w:val="0"/>
              <w:snapToGrid w:val="0"/>
              <w:spacing w:line="400" w:lineRule="exact"/>
              <w:ind w:leftChars="0"/>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b/>
                <w:bCs/>
                <w:kern w:val="0"/>
                <w:sz w:val="21"/>
                <w:szCs w:val="21"/>
                <w:lang w:val="en-US" w:eastAsia="zh-CN" w:bidi="ar-SA"/>
              </w:rPr>
              <w:t>3、餐费</w:t>
            </w:r>
            <w:r>
              <w:rPr>
                <w:rFonts w:hint="eastAsia" w:ascii="微软雅黑" w:hAnsi="微软雅黑" w:eastAsia="微软雅黑" w:cs="微软雅黑"/>
                <w:kern w:val="0"/>
                <w:sz w:val="21"/>
                <w:szCs w:val="21"/>
                <w:lang w:val="en-US" w:eastAsia="zh-CN" w:bidi="ar-SA"/>
              </w:rPr>
              <w:t>：全程包含4早3中餐社会餐厅60元正餐，全聚德或便宜坊烤鸭，京味菜，东来顺（如排队严重，为不影响景点游览，会更换其他餐厅）如因行程原因需早起，早餐为打包早，打包早餐相对简单，多为:矿泉水，面包，火腿肠，建议提前准备些零食。</w:t>
            </w:r>
          </w:p>
          <w:p w14:paraId="7C422D37">
            <w:pPr>
              <w:numPr>
                <w:ilvl w:val="0"/>
                <w:numId w:val="0"/>
              </w:numPr>
              <w:adjustRightInd w:val="0"/>
              <w:snapToGrid w:val="0"/>
              <w:spacing w:line="400" w:lineRule="exact"/>
              <w:ind w:leftChars="0"/>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4、</w:t>
            </w:r>
            <w:r>
              <w:rPr>
                <w:rFonts w:hint="eastAsia" w:ascii="微软雅黑" w:hAnsi="微软雅黑" w:eastAsia="微软雅黑" w:cs="微软雅黑"/>
                <w:b/>
                <w:bCs/>
                <w:sz w:val="21"/>
                <w:szCs w:val="21"/>
              </w:rPr>
              <w:t>导游：</w:t>
            </w:r>
            <w:r>
              <w:rPr>
                <w:rFonts w:hint="eastAsia" w:ascii="微软雅黑" w:hAnsi="微软雅黑" w:eastAsia="微软雅黑" w:cs="微软雅黑"/>
                <w:sz w:val="21"/>
                <w:szCs w:val="21"/>
                <w:lang w:eastAsia="zh-CN"/>
              </w:rPr>
              <w:t>当地</w:t>
            </w:r>
            <w:r>
              <w:rPr>
                <w:rFonts w:hint="eastAsia" w:ascii="微软雅黑" w:hAnsi="微软雅黑" w:eastAsia="微软雅黑" w:cs="微软雅黑"/>
                <w:sz w:val="21"/>
                <w:szCs w:val="21"/>
              </w:rPr>
              <w:t>持证中文导游服务。</w:t>
            </w:r>
          </w:p>
          <w:p w14:paraId="30967533">
            <w:pPr>
              <w:widowControl w:val="0"/>
              <w:numPr>
                <w:ilvl w:val="0"/>
                <w:numId w:val="0"/>
              </w:numPr>
              <w:spacing w:line="240" w:lineRule="auto"/>
              <w:ind w:leftChars="0"/>
              <w:rPr>
                <w:rFonts w:hint="eastAsia" w:ascii="微软雅黑" w:hAnsi="微软雅黑" w:eastAsia="微软雅黑" w:cs="微软雅黑"/>
              </w:rPr>
            </w:pPr>
            <w:r>
              <w:rPr>
                <w:rFonts w:hint="eastAsia" w:ascii="微软雅黑" w:hAnsi="微软雅黑" w:eastAsia="微软雅黑" w:cs="微软雅黑"/>
                <w:b/>
                <w:bCs/>
                <w:sz w:val="21"/>
                <w:szCs w:val="21"/>
                <w:lang w:val="en-US" w:eastAsia="zh-CN"/>
              </w:rPr>
              <w:t>5、</w:t>
            </w:r>
            <w:r>
              <w:rPr>
                <w:rFonts w:hint="eastAsia" w:ascii="微软雅黑" w:hAnsi="微软雅黑" w:eastAsia="微软雅黑" w:cs="微软雅黑"/>
                <w:b/>
                <w:bCs/>
                <w:sz w:val="21"/>
                <w:szCs w:val="21"/>
                <w:lang w:eastAsia="zh-CN"/>
              </w:rPr>
              <w:t>门票：</w:t>
            </w:r>
            <w:r>
              <w:rPr>
                <w:rFonts w:hint="eastAsia" w:ascii="微软雅黑" w:hAnsi="微软雅黑" w:eastAsia="微软雅黑" w:cs="微软雅黑"/>
                <w:sz w:val="21"/>
                <w:szCs w:val="21"/>
              </w:rPr>
              <w:t>景点大门票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景区交通和小门票，可根据需要自行到景区购买，北京景区门票都需要提前预约，实际景点游览顺序，根据约票顺序安排，请谅解）</w:t>
            </w:r>
            <w:r>
              <w:rPr>
                <w:rFonts w:hint="eastAsia" w:ascii="微软雅黑" w:hAnsi="微软雅黑" w:eastAsia="微软雅黑" w:cs="微软雅黑"/>
                <w:b/>
                <w:bCs/>
                <w:sz w:val="21"/>
                <w:szCs w:val="21"/>
                <w:lang w:eastAsia="zh-CN"/>
              </w:rPr>
              <w:br w:type="textWrapping"/>
            </w:r>
            <w:r>
              <w:rPr>
                <w:rFonts w:hint="eastAsia" w:ascii="微软雅黑" w:hAnsi="微软雅黑" w:eastAsia="微软雅黑" w:cs="微软雅黑"/>
                <w:b/>
                <w:bCs/>
                <w:sz w:val="21"/>
                <w:szCs w:val="21"/>
              </w:rPr>
              <w:t>特别说明：</w:t>
            </w:r>
            <w:r>
              <w:rPr>
                <w:rFonts w:hint="eastAsia" w:ascii="微软雅黑" w:hAnsi="微软雅黑" w:eastAsia="微软雅黑" w:cs="微软雅黑"/>
                <w:sz w:val="21"/>
                <w:szCs w:val="21"/>
              </w:rPr>
              <w:t>因赠送景点不开放或者旅游者自身原因取消参观费用不退。</w:t>
            </w:r>
            <w:r>
              <w:rPr>
                <w:rFonts w:hint="eastAsia" w:ascii="微软雅黑" w:hAnsi="微软雅黑" w:eastAsia="微软雅黑" w:cs="微软雅黑"/>
                <w:sz w:val="21"/>
                <w:szCs w:val="21"/>
              </w:rPr>
              <w:br w:type="textWrapping"/>
            </w:r>
            <w:r>
              <w:rPr>
                <w:rFonts w:hint="eastAsia" w:ascii="微软雅黑" w:hAnsi="微软雅黑" w:eastAsia="微软雅黑" w:cs="微软雅黑"/>
                <w:b/>
                <w:bCs/>
                <w:sz w:val="21"/>
                <w:szCs w:val="21"/>
                <w:lang w:val="en-US" w:eastAsia="zh-CN"/>
              </w:rPr>
              <w:t>6</w:t>
            </w:r>
            <w:r>
              <w:rPr>
                <w:rFonts w:hint="eastAsia" w:ascii="微软雅黑" w:hAnsi="微软雅黑" w:eastAsia="微软雅黑" w:cs="微软雅黑"/>
                <w:b/>
                <w:bCs/>
                <w:sz w:val="21"/>
                <w:szCs w:val="21"/>
              </w:rPr>
              <w:t>、</w:t>
            </w:r>
            <w:r>
              <w:rPr>
                <w:rFonts w:hint="eastAsia" w:ascii="微软雅黑" w:hAnsi="微软雅黑" w:eastAsia="微软雅黑" w:cs="微软雅黑"/>
                <w:sz w:val="21"/>
                <w:szCs w:val="21"/>
              </w:rPr>
              <w:t>提示：北京行程走步较多，较为辛苦，</w:t>
            </w:r>
            <w:r>
              <w:rPr>
                <w:rFonts w:hint="eastAsia" w:ascii="微软雅黑" w:hAnsi="微软雅黑" w:eastAsia="微软雅黑" w:cs="微软雅黑"/>
              </w:rPr>
              <w:t xml:space="preserve"> 70周岁以上老人，须出示健康证明并有年轻的直系家属陪同。</w:t>
            </w:r>
          </w:p>
          <w:p w14:paraId="1D963AAE">
            <w:pPr>
              <w:pStyle w:val="10"/>
              <w:numPr>
                <w:ilvl w:val="0"/>
                <w:numId w:val="0"/>
              </w:numPr>
              <w:spacing w:line="240" w:lineRule="auto"/>
              <w:textAlignment w:val="baseline"/>
              <w:rPr>
                <w:rFonts w:hint="eastAsia" w:ascii="微软雅黑" w:hAnsi="微软雅黑" w:eastAsia="微软雅黑" w:cs="微软雅黑"/>
                <w:sz w:val="21"/>
                <w:szCs w:val="21"/>
              </w:rPr>
            </w:pPr>
            <w:r>
              <w:rPr>
                <w:rFonts w:hint="eastAsia" w:ascii="微软雅黑" w:hAnsi="微软雅黑" w:eastAsia="微软雅黑" w:cs="微软雅黑"/>
                <w:b/>
                <w:color w:val="000000" w:themeColor="text1"/>
                <w:szCs w:val="21"/>
                <w:lang w:val="en-US" w:eastAsia="zh-CN"/>
                <w14:textFill>
                  <w14:solidFill>
                    <w14:schemeClr w14:val="tx1"/>
                  </w14:solidFill>
                </w14:textFill>
              </w:rPr>
              <w:t>7</w:t>
            </w:r>
            <w:r>
              <w:rPr>
                <w:rFonts w:hint="eastAsia" w:ascii="微软雅黑" w:hAnsi="微软雅黑" w:eastAsia="微软雅黑" w:cs="微软雅黑"/>
                <w:b/>
                <w:color w:val="000000" w:themeColor="text1"/>
                <w:szCs w:val="21"/>
                <w14:textFill>
                  <w14:solidFill>
                    <w14:schemeClr w14:val="tx1"/>
                  </w14:solidFill>
                </w14:textFill>
              </w:rPr>
              <w:t>、关于人数说明：本团计划为18人，但有时可能游客临时加人等因素，实际收客大概18-22人之间不等。</w:t>
            </w:r>
          </w:p>
        </w:tc>
      </w:tr>
      <w:tr w14:paraId="3463BC7F">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90" w:hRule="atLeast"/>
        </w:trPr>
        <w:tc>
          <w:tcPr>
            <w:tcW w:w="10793" w:type="dxa"/>
            <w:gridSpan w:val="10"/>
            <w:tcBorders>
              <w:tl2br w:val="nil"/>
              <w:tr2bl w:val="nil"/>
            </w:tcBorders>
          </w:tcPr>
          <w:p w14:paraId="7CE9D85E">
            <w:pPr>
              <w:spacing w:line="240" w:lineRule="auto"/>
              <w:jc w:val="left"/>
              <w:textAlignment w:val="baseline"/>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费用不含：</w:t>
            </w:r>
          </w:p>
          <w:p w14:paraId="78B56446">
            <w:pPr>
              <w:spacing w:line="240" w:lineRule="auto"/>
              <w:jc w:val="left"/>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单人入住的单房差。</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旅游期间未标明的餐费。</w:t>
            </w:r>
          </w:p>
          <w:p w14:paraId="0584F6E8">
            <w:pPr>
              <w:pStyle w:val="10"/>
              <w:numPr>
                <w:ilvl w:val="0"/>
                <w:numId w:val="0"/>
              </w:numPr>
              <w:spacing w:line="240" w:lineRule="auto"/>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旅游期间的个人消费。</w:t>
            </w:r>
          </w:p>
          <w:p w14:paraId="626EEEF5">
            <w:pPr>
              <w:pStyle w:val="10"/>
              <w:numPr>
                <w:ilvl w:val="0"/>
                <w:numId w:val="0"/>
              </w:numPr>
              <w:spacing w:line="240" w:lineRule="auto"/>
              <w:textAlignment w:val="baseline"/>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景区交通工具。</w:t>
            </w:r>
          </w:p>
          <w:p w14:paraId="4119B11B">
            <w:pPr>
              <w:pStyle w:val="10"/>
              <w:numPr>
                <w:ilvl w:val="0"/>
                <w:numId w:val="0"/>
              </w:numPr>
              <w:spacing w:line="240" w:lineRule="auto"/>
              <w:textAlignment w:val="baseline"/>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旅游意外险。</w:t>
            </w:r>
          </w:p>
          <w:p w14:paraId="2C538F43">
            <w:pPr>
              <w:pStyle w:val="10"/>
              <w:numPr>
                <w:ilvl w:val="0"/>
                <w:numId w:val="0"/>
              </w:numPr>
              <w:spacing w:line="360" w:lineRule="auto"/>
              <w:textAlignment w:val="baseline"/>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未注明由旅行社承担的费用</w:t>
            </w:r>
            <w:r>
              <w:rPr>
                <w:rFonts w:hint="eastAsia" w:ascii="微软雅黑" w:hAnsi="微软雅黑" w:eastAsia="微软雅黑" w:cs="微软雅黑"/>
                <w:sz w:val="21"/>
                <w:szCs w:val="21"/>
                <w:lang w:eastAsia="zh-CN"/>
              </w:rPr>
              <w:t>。</w:t>
            </w:r>
          </w:p>
        </w:tc>
      </w:tr>
      <w:tr w14:paraId="55E24B71">
        <w:tblPrEx>
          <w:tblBorders>
            <w:top w:val="single" w:color="757070" w:themeColor="background2" w:themeShade="7F" w:sz="12" w:space="0"/>
            <w:left w:val="single" w:color="757070" w:themeColor="background2" w:themeShade="7F" w:sz="12" w:space="0"/>
            <w:bottom w:val="single" w:color="757070" w:themeColor="background2" w:themeShade="7F" w:sz="12" w:space="0"/>
            <w:right w:val="single" w:color="757070" w:themeColor="background2" w:themeShade="7F" w:sz="12" w:space="0"/>
            <w:insideH w:val="single" w:color="757070" w:themeColor="background2" w:themeShade="7F" w:sz="12" w:space="0"/>
            <w:insideV w:val="single" w:color="757070" w:themeColor="background2" w:themeShade="7F" w:sz="12" w:space="0"/>
          </w:tblBorders>
          <w:tblCellMar>
            <w:top w:w="0" w:type="dxa"/>
            <w:left w:w="108" w:type="dxa"/>
            <w:bottom w:w="0" w:type="dxa"/>
            <w:right w:w="108" w:type="dxa"/>
          </w:tblCellMar>
        </w:tblPrEx>
        <w:trPr>
          <w:trHeight w:val="379" w:hRule="atLeast"/>
        </w:trPr>
        <w:tc>
          <w:tcPr>
            <w:tcW w:w="10793" w:type="dxa"/>
            <w:gridSpan w:val="10"/>
            <w:tcBorders>
              <w:tl2br w:val="nil"/>
              <w:tr2bl w:val="nil"/>
            </w:tcBorders>
          </w:tcPr>
          <w:p w14:paraId="13E79615">
            <w:pPr>
              <w:spacing w:line="360" w:lineRule="auto"/>
              <w:rPr>
                <w:rFonts w:hint="eastAsia" w:ascii="微软雅黑" w:hAnsi="微软雅黑" w:eastAsia="微软雅黑" w:cs="微软雅黑"/>
                <w:b/>
                <w:bCs/>
                <w:szCs w:val="21"/>
              </w:rPr>
            </w:pPr>
            <w:r>
              <w:rPr>
                <w:rFonts w:hint="eastAsia" w:ascii="微软雅黑" w:hAnsi="微软雅黑" w:eastAsia="微软雅黑" w:cs="微软雅黑"/>
                <w:b/>
                <w:bCs/>
                <w:szCs w:val="21"/>
              </w:rPr>
              <w:t>特别约定：</w:t>
            </w:r>
          </w:p>
          <w:p w14:paraId="058FF615">
            <w:pPr>
              <w:numPr>
                <w:ilvl w:val="0"/>
                <w:numId w:val="3"/>
              </w:numPr>
              <w:spacing w:line="360" w:lineRule="auto"/>
              <w:ind w:leftChars="0"/>
              <w:rPr>
                <w:rFonts w:hint="eastAsia" w:ascii="微软雅黑" w:hAnsi="微软雅黑" w:eastAsia="微软雅黑" w:cs="微软雅黑"/>
                <w:szCs w:val="21"/>
              </w:rPr>
            </w:pPr>
            <w:r>
              <w:rPr>
                <w:rFonts w:hint="eastAsia" w:ascii="微软雅黑" w:hAnsi="微软雅黑" w:eastAsia="微软雅黑" w:cs="微软雅黑"/>
                <w:szCs w:val="21"/>
              </w:rPr>
              <w:t>北京旅游期间，宾馆及景区周边设有纪念品商店，导游未要求参观，不视为旅行社安排购物店，与旅行社无关。</w:t>
            </w:r>
          </w:p>
          <w:p w14:paraId="79C59E22">
            <w:pPr>
              <w:numPr>
                <w:ilvl w:val="0"/>
                <w:numId w:val="3"/>
              </w:numPr>
              <w:spacing w:line="360" w:lineRule="auto"/>
              <w:ind w:leftChars="0"/>
              <w:rPr>
                <w:rFonts w:hint="eastAsia" w:ascii="微软雅黑" w:hAnsi="微软雅黑" w:eastAsia="微软雅黑" w:cs="微软雅黑"/>
                <w:szCs w:val="21"/>
              </w:rPr>
            </w:pPr>
            <w:r>
              <w:rPr>
                <w:rFonts w:hint="eastAsia" w:ascii="微软雅黑" w:hAnsi="微软雅黑" w:eastAsia="微软雅黑" w:cs="微软雅黑"/>
                <w:szCs w:val="21"/>
              </w:rPr>
              <w:t>旅行社在旅途中可根据实际情况，在保证行程景点不减少的情况下、导游提前通报后，有权利调整行程的顺序。</w:t>
            </w:r>
          </w:p>
          <w:p w14:paraId="756D393B">
            <w:pPr>
              <w:numPr>
                <w:ilvl w:val="0"/>
                <w:numId w:val="0"/>
              </w:numPr>
              <w:spacing w:line="360" w:lineRule="auto"/>
              <w:ind w:leftChars="0"/>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3、</w:t>
            </w:r>
            <w:r>
              <w:rPr>
                <w:rFonts w:hint="eastAsia" w:ascii="微软雅黑" w:hAnsi="微软雅黑" w:eastAsia="微软雅黑" w:cs="微软雅黑"/>
                <w:szCs w:val="21"/>
              </w:rPr>
              <w:t>如遇旅行社不可控制因素（如塌方、塞车、天气、航班延误、车辆故障、国家政策等原因）造成行程延误或不能完成景点游览，旅行社负责协助解决或退还未产生的费用（酒店确定后无法退费），由此产生的费用自理，旅行社不承担由此造成的损失及责任。因不可抗力因素造成团队行程更改、延误、滞留或提前结束时，旅行社可根据当时的情况全权处理，如发生费用加减，按未发生费用退还游客，超支费用由游客承担的办法处理。</w:t>
            </w:r>
          </w:p>
          <w:p w14:paraId="5793BC00">
            <w:pPr>
              <w:numPr>
                <w:ilvl w:val="0"/>
                <w:numId w:val="0"/>
              </w:numPr>
              <w:spacing w:line="360" w:lineRule="auto"/>
              <w:ind w:leftChars="0"/>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4、</w:t>
            </w:r>
            <w:r>
              <w:rPr>
                <w:rFonts w:hint="eastAsia" w:ascii="微软雅黑" w:hAnsi="微软雅黑" w:eastAsia="微软雅黑" w:cs="微软雅黑"/>
                <w:szCs w:val="21"/>
              </w:rPr>
              <w:t>酒店并非旅行社自有企业，只承诺对应标准安排酒店。如对酒店卫生、服务等问题不满意，请直接在酒店投诉。</w:t>
            </w:r>
          </w:p>
          <w:p w14:paraId="450CB184">
            <w:pPr>
              <w:numPr>
                <w:ilvl w:val="0"/>
                <w:numId w:val="0"/>
              </w:numPr>
              <w:spacing w:line="360" w:lineRule="auto"/>
              <w:ind w:leftChars="0"/>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5、</w:t>
            </w:r>
            <w:r>
              <w:rPr>
                <w:rFonts w:hint="eastAsia" w:ascii="微软雅黑" w:hAnsi="微软雅黑" w:eastAsia="微软雅黑" w:cs="微软雅黑"/>
                <w:szCs w:val="21"/>
              </w:rPr>
              <w:t>行程中免费景点如因政策原因导致不能参观，可更换为其他免费景点，旅游不做费用赔偿。</w:t>
            </w:r>
          </w:p>
          <w:p w14:paraId="0F1BF79E">
            <w:pPr>
              <w:numPr>
                <w:ilvl w:val="0"/>
                <w:numId w:val="0"/>
              </w:numPr>
              <w:spacing w:line="360" w:lineRule="auto"/>
              <w:ind w:leftChars="0"/>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6、</w:t>
            </w:r>
            <w:r>
              <w:rPr>
                <w:rFonts w:hint="eastAsia" w:ascii="微软雅黑" w:hAnsi="微软雅黑" w:eastAsia="微软雅黑" w:cs="微软雅黑"/>
                <w:szCs w:val="21"/>
              </w:rPr>
              <w:t>跟团游期间，如有个人需求脱团，需签《离团协议书》，离团期间费用不退，责任自负，另需补齐离团费400元。</w:t>
            </w:r>
          </w:p>
          <w:p w14:paraId="0DE8EE34">
            <w:pPr>
              <w:numPr>
                <w:ilvl w:val="0"/>
                <w:numId w:val="0"/>
              </w:numPr>
              <w:spacing w:line="360" w:lineRule="auto"/>
              <w:ind w:leftChars="0"/>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7、</w:t>
            </w:r>
            <w:r>
              <w:rPr>
                <w:rFonts w:hint="eastAsia" w:ascii="微软雅黑" w:hAnsi="微软雅黑" w:eastAsia="微软雅黑" w:cs="微软雅黑"/>
                <w:szCs w:val="21"/>
              </w:rPr>
              <w:t>儿童报价为1.2米以下学龄前儿童，仅含：车位、餐费、导服。</w:t>
            </w:r>
          </w:p>
          <w:p w14:paraId="32434C6A">
            <w:pPr>
              <w:spacing w:line="360" w:lineRule="auto"/>
              <w:jc w:val="left"/>
              <w:textAlignment w:val="baseline"/>
              <w:rPr>
                <w:rFonts w:hint="eastAsia" w:ascii="微软雅黑" w:hAnsi="微软雅黑" w:eastAsia="微软雅黑" w:cs="微软雅黑"/>
                <w:b/>
                <w:bCs/>
                <w:sz w:val="24"/>
                <w:szCs w:val="24"/>
              </w:rPr>
            </w:pPr>
            <w:r>
              <w:rPr>
                <w:rFonts w:hint="eastAsia" w:ascii="微软雅黑" w:hAnsi="微软雅黑" w:eastAsia="微软雅黑" w:cs="微软雅黑"/>
                <w:color w:val="000000"/>
                <w:szCs w:val="21"/>
              </w:rPr>
              <w:t>行程确认后，由于个人原因退团，所有费用不予退还。</w:t>
            </w:r>
          </w:p>
        </w:tc>
      </w:tr>
    </w:tbl>
    <w:p w14:paraId="614E3423"/>
    <w:sectPr>
      <w:headerReference r:id="rId3" w:type="default"/>
      <w:pgSz w:w="11900" w:h="16840"/>
      <w:pgMar w:top="720" w:right="720" w:bottom="720" w:left="72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50617">
    <w:pPr>
      <w:pStyle w:val="4"/>
    </w:pPr>
  </w:p>
  <w:p w14:paraId="1FBAF70E">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246A0"/>
    <w:multiLevelType w:val="singleLevel"/>
    <w:tmpl w:val="A0A246A0"/>
    <w:lvl w:ilvl="0" w:tentative="0">
      <w:start w:val="1"/>
      <w:numFmt w:val="decimal"/>
      <w:suff w:val="nothing"/>
      <w:lvlText w:val="%1、"/>
      <w:lvlJc w:val="left"/>
    </w:lvl>
  </w:abstractNum>
  <w:abstractNum w:abstractNumId="1">
    <w:nsid w:val="129D4264"/>
    <w:multiLevelType w:val="singleLevel"/>
    <w:tmpl w:val="129D4264"/>
    <w:lvl w:ilvl="0" w:tentative="0">
      <w:start w:val="1"/>
      <w:numFmt w:val="decimal"/>
      <w:suff w:val="nothing"/>
      <w:lvlText w:val="%1、"/>
      <w:lvlJc w:val="left"/>
    </w:lvl>
  </w:abstractNum>
  <w:abstractNum w:abstractNumId="2">
    <w:nsid w:val="64D16122"/>
    <w:multiLevelType w:val="singleLevel"/>
    <w:tmpl w:val="64D16122"/>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42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3OGNlMjMxYmMyNjc5YTU5OTQzZTgzM2YyN2E5ZWQifQ=="/>
    <w:docVar w:name="KSO_WPS_MARK_KEY" w:val="f2b12743-b1a7-4f23-8e4e-55856d5b15d8"/>
  </w:docVars>
  <w:rsids>
    <w:rsidRoot w:val="00892545"/>
    <w:rsid w:val="00015521"/>
    <w:rsid w:val="00016190"/>
    <w:rsid w:val="00054CB7"/>
    <w:rsid w:val="001148FC"/>
    <w:rsid w:val="001569DE"/>
    <w:rsid w:val="00191F8A"/>
    <w:rsid w:val="00215052"/>
    <w:rsid w:val="002C6720"/>
    <w:rsid w:val="004179FC"/>
    <w:rsid w:val="004362F9"/>
    <w:rsid w:val="0049539D"/>
    <w:rsid w:val="004D2F6B"/>
    <w:rsid w:val="00521150"/>
    <w:rsid w:val="00536397"/>
    <w:rsid w:val="00566C6F"/>
    <w:rsid w:val="005D6FEA"/>
    <w:rsid w:val="00745359"/>
    <w:rsid w:val="00892545"/>
    <w:rsid w:val="008A52C8"/>
    <w:rsid w:val="008F341F"/>
    <w:rsid w:val="0094062A"/>
    <w:rsid w:val="00940DE2"/>
    <w:rsid w:val="009502B4"/>
    <w:rsid w:val="009E7450"/>
    <w:rsid w:val="00A10593"/>
    <w:rsid w:val="00A12BDA"/>
    <w:rsid w:val="00A63451"/>
    <w:rsid w:val="00AB75A3"/>
    <w:rsid w:val="00B62DAB"/>
    <w:rsid w:val="00D1565F"/>
    <w:rsid w:val="00D950AC"/>
    <w:rsid w:val="00DF21E0"/>
    <w:rsid w:val="00E20F90"/>
    <w:rsid w:val="00E75946"/>
    <w:rsid w:val="00E977F1"/>
    <w:rsid w:val="00EF13D3"/>
    <w:rsid w:val="00F2137A"/>
    <w:rsid w:val="00F32192"/>
    <w:rsid w:val="00F45312"/>
    <w:rsid w:val="01F86CD9"/>
    <w:rsid w:val="025A2EB7"/>
    <w:rsid w:val="029156EB"/>
    <w:rsid w:val="04AC19A6"/>
    <w:rsid w:val="06A83A39"/>
    <w:rsid w:val="0B071699"/>
    <w:rsid w:val="0B5C5055"/>
    <w:rsid w:val="0D3B5B02"/>
    <w:rsid w:val="0E8970F6"/>
    <w:rsid w:val="1565422D"/>
    <w:rsid w:val="158D631F"/>
    <w:rsid w:val="18401400"/>
    <w:rsid w:val="18F8172D"/>
    <w:rsid w:val="1ABB0D36"/>
    <w:rsid w:val="1B091144"/>
    <w:rsid w:val="1E111A9B"/>
    <w:rsid w:val="1EBA29F1"/>
    <w:rsid w:val="20295B02"/>
    <w:rsid w:val="22DE227C"/>
    <w:rsid w:val="262B1AE6"/>
    <w:rsid w:val="2ABE3D6C"/>
    <w:rsid w:val="2AFC3ED4"/>
    <w:rsid w:val="39862E73"/>
    <w:rsid w:val="3C945CFE"/>
    <w:rsid w:val="4133526B"/>
    <w:rsid w:val="439B1C0C"/>
    <w:rsid w:val="45406AF2"/>
    <w:rsid w:val="472E530C"/>
    <w:rsid w:val="4A272B40"/>
    <w:rsid w:val="4AAE189B"/>
    <w:rsid w:val="4B0A4FD7"/>
    <w:rsid w:val="4BD0695F"/>
    <w:rsid w:val="4F060CBB"/>
    <w:rsid w:val="4F1F5663"/>
    <w:rsid w:val="4F375329"/>
    <w:rsid w:val="51BD660D"/>
    <w:rsid w:val="522408BF"/>
    <w:rsid w:val="58E862D4"/>
    <w:rsid w:val="5F9C0FCB"/>
    <w:rsid w:val="65180F51"/>
    <w:rsid w:val="6547305D"/>
    <w:rsid w:val="66F92081"/>
    <w:rsid w:val="6C517DC1"/>
    <w:rsid w:val="6DB20A40"/>
    <w:rsid w:val="71FF3AFE"/>
    <w:rsid w:val="723E5316"/>
    <w:rsid w:val="73E33752"/>
    <w:rsid w:val="74361AA9"/>
    <w:rsid w:val="74676C9C"/>
    <w:rsid w:val="769C0BD8"/>
    <w:rsid w:val="77603494"/>
    <w:rsid w:val="777F6656"/>
    <w:rsid w:val="77CC7AE4"/>
    <w:rsid w:val="7C84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rPr>
      <w:szCs w:val="24"/>
    </w:r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unhideWhenUsed/>
    <w:qFormat/>
    <w:uiPriority w:val="99"/>
    <w:pPr>
      <w:spacing w:before="100" w:beforeAutospacing="1" w:after="100" w:afterAutospacing="1"/>
    </w:pPr>
    <w:rPr>
      <w:rFonts w:ascii="宋体" w:hAnsi="宋体" w:eastAsia="宋体" w:cs="宋体"/>
    </w:rPr>
  </w:style>
  <w:style w:type="character" w:styleId="8">
    <w:name w:val="Strong"/>
    <w:autoRedefine/>
    <w:qFormat/>
    <w:uiPriority w:val="0"/>
    <w:rPr>
      <w:b/>
      <w:bCs/>
    </w:rPr>
  </w:style>
  <w:style w:type="character" w:styleId="9">
    <w:name w:val="Emphasis"/>
    <w:basedOn w:val="7"/>
    <w:autoRedefine/>
    <w:qFormat/>
    <w:uiPriority w:val="20"/>
    <w:rPr>
      <w:i/>
      <w:iCs/>
    </w:rPr>
  </w:style>
  <w:style w:type="paragraph" w:styleId="10">
    <w:name w:val="List Paragraph"/>
    <w:basedOn w:val="1"/>
    <w:next w:val="1"/>
    <w:autoRedefine/>
    <w:qFormat/>
    <w:uiPriority w:val="34"/>
    <w:pPr>
      <w:widowControl/>
      <w:ind w:firstLine="420" w:firstLineChars="200"/>
      <w:jc w:val="left"/>
    </w:pPr>
    <w:rPr>
      <w:rFonts w:ascii="Times New Roman" w:hAnsi="Times New Roman" w:eastAsia="等线"/>
      <w:kern w:val="0"/>
      <w:sz w:val="24"/>
      <w:szCs w:val="24"/>
    </w:rPr>
  </w:style>
  <w:style w:type="paragraph" w:customStyle="1" w:styleId="11">
    <w:name w:val="列出段落1"/>
    <w:basedOn w:val="1"/>
    <w:autoRedefine/>
    <w:qFormat/>
    <w:uiPriority w:val="99"/>
    <w:pPr>
      <w:ind w:firstLine="420" w:firstLineChars="200"/>
    </w:pPr>
    <w:rPr>
      <w:rFonts w:ascii="Times New Roman" w:hAnsi="Times New Roman"/>
      <w:szCs w:val="20"/>
    </w:rPr>
  </w:style>
  <w:style w:type="paragraph" w:customStyle="1" w:styleId="12">
    <w:name w:val="列表段落1"/>
    <w:basedOn w:val="1"/>
    <w:autoRedefine/>
    <w:qFormat/>
    <w:uiPriority w:val="34"/>
    <w:pPr>
      <w:ind w:firstLine="420" w:firstLineChars="200"/>
    </w:pPr>
  </w:style>
  <w:style w:type="paragraph" w:customStyle="1" w:styleId="13">
    <w:name w:val="Table Text"/>
    <w:basedOn w:val="1"/>
    <w:autoRedefine/>
    <w:semiHidden/>
    <w:qFormat/>
    <w:uiPriority w:val="0"/>
    <w:rPr>
      <w:rFonts w:ascii="微软雅黑" w:hAnsi="微软雅黑" w:eastAsia="微软雅黑" w:cs="微软雅黑"/>
      <w:sz w:val="19"/>
      <w:szCs w:val="19"/>
      <w:lang w:val="en-US" w:eastAsia="en-US"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3713</Words>
  <Characters>3777</Characters>
  <Lines>45</Lines>
  <Paragraphs>12</Paragraphs>
  <TotalTime>36</TotalTime>
  <ScaleCrop>false</ScaleCrop>
  <LinksUpToDate>false</LinksUpToDate>
  <CharactersWithSpaces>3861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天安北京项玉玉</cp:lastModifiedBy>
  <dcterms:modified xsi:type="dcterms:W3CDTF">2024-09-18T06:13:01Z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32B4D1079D204F80A2114750B8AC7B01_13</vt:lpwstr>
  </property>
</Properties>
</file>